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7D54B1" w14:textId="35350C64" w:rsidR="00E66558" w:rsidRDefault="009D71E8" w:rsidP="004F015D">
      <w:pPr>
        <w:pStyle w:val="Heading1"/>
        <w:jc w:val="center"/>
      </w:pPr>
      <w:bookmarkStart w:id="0" w:name="_Toc400361362"/>
      <w:bookmarkStart w:id="1" w:name="_Toc443397153"/>
      <w:bookmarkStart w:id="2" w:name="_Toc357771638"/>
      <w:bookmarkStart w:id="3" w:name="_Toc346793416"/>
      <w:bookmarkStart w:id="4" w:name="_Toc328122777"/>
      <w:bookmarkStart w:id="5" w:name="_GoBack"/>
      <w:bookmarkEnd w:id="5"/>
      <w:r>
        <w:t>Pupil premium strategy statement</w:t>
      </w:r>
      <w:bookmarkStart w:id="6" w:name="_Toc338167830"/>
      <w:bookmarkStart w:id="7" w:name="_Toc361136403"/>
      <w:bookmarkStart w:id="8" w:name="_Toc364235708"/>
      <w:bookmarkStart w:id="9" w:name="_Toc364235752"/>
      <w:bookmarkStart w:id="10" w:name="_Toc364235834"/>
      <w:bookmarkStart w:id="11" w:name="_Toc364840099"/>
      <w:bookmarkStart w:id="12" w:name="_Toc364864309"/>
      <w:bookmarkStart w:id="13" w:name="_Toc400361364"/>
      <w:bookmarkStart w:id="14" w:name="_Toc443397154"/>
      <w:bookmarkEnd w:id="0"/>
      <w:bookmarkEnd w:id="1"/>
    </w:p>
    <w:p w14:paraId="77015CC2" w14:textId="2170F4F2" w:rsidR="005E18CB" w:rsidRPr="004F015D" w:rsidRDefault="004F015D" w:rsidP="004F015D">
      <w:pPr>
        <w:jc w:val="center"/>
        <w:rPr>
          <w:b/>
          <w:color w:val="1F497D" w:themeColor="text2"/>
          <w:sz w:val="32"/>
          <w:szCs w:val="32"/>
        </w:rPr>
      </w:pPr>
      <w:r w:rsidRPr="004F015D">
        <w:rPr>
          <w:b/>
          <w:color w:val="1F497D" w:themeColor="text2"/>
          <w:sz w:val="32"/>
          <w:szCs w:val="32"/>
        </w:rPr>
        <w:t>Easton CE Primary Academy</w:t>
      </w:r>
    </w:p>
    <w:p w14:paraId="16B48015" w14:textId="66707B0A" w:rsidR="00E66558" w:rsidRDefault="009D71E8" w:rsidP="00C62989">
      <w:pPr>
        <w:rPr>
          <w:b/>
        </w:rPr>
      </w:pPr>
      <w:r>
        <w:t>This statement details our</w:t>
      </w:r>
      <w:r w:rsidR="004F015D">
        <w:t xml:space="preserve"> school’s use of pupil premium </w:t>
      </w:r>
      <w:r>
        <w:t xml:space="preserve">funding to help improve the attainment of our disadvantaged pupils. </w:t>
      </w:r>
    </w:p>
    <w:p w14:paraId="2A7D54B3" w14:textId="730F2E71" w:rsidR="00E66558" w:rsidRDefault="009D71E8" w:rsidP="00C62989">
      <w:pPr>
        <w:rPr>
          <w:b/>
        </w:rPr>
      </w:pPr>
      <w:r>
        <w:t xml:space="preserve">It outlines our pupil premium strategy, how we intend to spend the funding in this academic year and the </w:t>
      </w:r>
      <w:r w:rsidR="00830D57">
        <w:t xml:space="preserve">outcomes </w:t>
      </w:r>
      <w:r w:rsidR="00A44FBB">
        <w:t>for disadvantaged pupils</w:t>
      </w:r>
      <w:r>
        <w:t xml:space="preserve"> last </w:t>
      </w:r>
      <w:r w:rsidR="00A44FBB">
        <w:t xml:space="preserve">academic </w:t>
      </w:r>
      <w:r>
        <w:t>year</w:t>
      </w:r>
      <w:r w:rsidR="00A44FBB">
        <w:t>.</w:t>
      </w:r>
    </w:p>
    <w:p w14:paraId="2A7D54B4" w14:textId="2CAB096C" w:rsidR="00E66558" w:rsidRDefault="009D71E8">
      <w:pPr>
        <w:pStyle w:val="Heading2"/>
      </w:pPr>
      <w:r>
        <w:t>School overview</w:t>
      </w:r>
      <w:bookmarkEnd w:id="6"/>
      <w:bookmarkEnd w:id="7"/>
      <w:bookmarkEnd w:id="8"/>
      <w:bookmarkEnd w:id="9"/>
      <w:bookmarkEnd w:id="10"/>
      <w:bookmarkEnd w:id="11"/>
      <w:bookmarkEnd w:id="12"/>
      <w:bookmarkEnd w:id="13"/>
      <w:bookmarkEnd w:id="14"/>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rsidTr="238D76EA">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FDCE3"/>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FDCE3"/>
            <w:tcMar>
              <w:top w:w="0" w:type="dxa"/>
              <w:left w:w="108" w:type="dxa"/>
              <w:bottom w:w="0" w:type="dxa"/>
              <w:right w:w="108" w:type="dxa"/>
            </w:tcMar>
          </w:tcPr>
          <w:p w14:paraId="51A59785" w14:textId="77777777" w:rsidR="00E66558" w:rsidRDefault="009D71E8">
            <w:pPr>
              <w:pStyle w:val="TableHeader"/>
              <w:jc w:val="left"/>
            </w:pPr>
            <w:r>
              <w:t>Data</w:t>
            </w:r>
          </w:p>
        </w:tc>
      </w:tr>
      <w:tr w:rsidR="002940F3" w14:paraId="2A7D54BA" w14:textId="77777777" w:rsidTr="238D76EA">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8" w14:textId="2D941A71" w:rsidR="002940F3" w:rsidRDefault="002940F3">
            <w:pPr>
              <w:pStyle w:val="TableRow"/>
            </w:pPr>
            <w:r>
              <w:t xml:space="preserve">Number of pupils in school </w:t>
            </w:r>
            <w:r w:rsidR="46D22D01">
              <w:t>(inc Nursery)</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9" w14:textId="6024B11C" w:rsidR="002940F3" w:rsidRPr="004F015D" w:rsidRDefault="513817C5" w:rsidP="1880A041">
            <w:pPr>
              <w:pStyle w:val="TableRow"/>
              <w:rPr>
                <w:color w:val="000000" w:themeColor="text1"/>
              </w:rPr>
            </w:pPr>
            <w:r w:rsidRPr="4F72C368">
              <w:rPr>
                <w:color w:val="000000" w:themeColor="text1"/>
              </w:rPr>
              <w:t>4</w:t>
            </w:r>
            <w:r w:rsidR="7437C3B3" w:rsidRPr="4F72C368">
              <w:rPr>
                <w:color w:val="000000" w:themeColor="text1"/>
              </w:rPr>
              <w:t>2</w:t>
            </w:r>
            <w:r w:rsidRPr="4F72C368">
              <w:rPr>
                <w:color w:val="000000" w:themeColor="text1"/>
              </w:rPr>
              <w:t>7</w:t>
            </w:r>
          </w:p>
        </w:tc>
      </w:tr>
      <w:tr w:rsidR="002940F3" w14:paraId="2A7D54BD" w14:textId="77777777" w:rsidTr="238D76EA">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B" w14:textId="04774D67" w:rsidR="002940F3" w:rsidRDefault="002940F3">
            <w:pPr>
              <w:pStyle w:val="TableRow"/>
            </w:pPr>
            <w:r>
              <w:t>Proportion (%) of pupil premium eligible pupils</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C" w14:textId="2C1BC9C1" w:rsidR="002940F3" w:rsidRPr="004F015D" w:rsidRDefault="004F015D" w:rsidP="238D76EA">
            <w:pPr>
              <w:pStyle w:val="TableRow"/>
              <w:rPr>
                <w:color w:val="000000" w:themeColor="text1"/>
              </w:rPr>
            </w:pPr>
            <w:r w:rsidRPr="238D76EA">
              <w:rPr>
                <w:color w:val="000000" w:themeColor="text1"/>
              </w:rPr>
              <w:t>61%</w:t>
            </w:r>
          </w:p>
        </w:tc>
      </w:tr>
      <w:tr w:rsidR="002940F3" w14:paraId="2A7D54C0" w14:textId="77777777" w:rsidTr="238D76EA">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E" w14:textId="34215C6A" w:rsidR="002940F3" w:rsidRDefault="002940F3">
            <w:pPr>
              <w:pStyle w:val="TableRow"/>
            </w:pPr>
            <w:r>
              <w:t xml:space="preserve">Academic year/years that our current pupil premium strategy plan covers </w:t>
            </w:r>
            <w:r w:rsidRPr="1CBF4D92">
              <w:rPr>
                <w:b/>
              </w:rPr>
              <w:t>(</w:t>
            </w:r>
            <w:r w:rsidRPr="004B4D0A">
              <w:rPr>
                <w:b/>
              </w:rPr>
              <w:t>3 year</w:t>
            </w:r>
            <w:r w:rsidRPr="1CBF4D92">
              <w:rPr>
                <w:b/>
              </w:rPr>
              <w:t xml:space="preserve"> plans are recommended</w:t>
            </w:r>
            <w:r w:rsidR="00D5360D">
              <w:rPr>
                <w:b/>
              </w:rPr>
              <w:t xml:space="preserve"> </w:t>
            </w:r>
            <w:r w:rsidR="00560424">
              <w:rPr>
                <w:b/>
              </w:rPr>
              <w:t>– you must still publish an updated statement each academic year</w:t>
            </w:r>
            <w:r w:rsidRPr="1CBF4D92">
              <w:rPr>
                <w:b/>
              </w:rPr>
              <w:t>)</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F" w14:textId="6A180969" w:rsidR="002940F3" w:rsidRDefault="004F015D">
            <w:pPr>
              <w:pStyle w:val="TableRow"/>
            </w:pPr>
            <w:r>
              <w:t>2023-2026</w:t>
            </w:r>
          </w:p>
        </w:tc>
      </w:tr>
      <w:tr w:rsidR="002940F3" w14:paraId="2A7D54C3" w14:textId="77777777" w:rsidTr="238D76EA">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1" w14:textId="0F472705" w:rsidR="002940F3" w:rsidRDefault="002940F3">
            <w:pPr>
              <w:pStyle w:val="TableRow"/>
            </w:pPr>
            <w:r>
              <w:rPr>
                <w:szCs w:val="22"/>
              </w:rPr>
              <w:t>Date this statement was published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2" w14:textId="62FCEE1E" w:rsidR="002940F3" w:rsidRDefault="004F015D">
            <w:pPr>
              <w:pStyle w:val="TableRow"/>
            </w:pPr>
            <w:r>
              <w:t>December 2023</w:t>
            </w:r>
          </w:p>
        </w:tc>
      </w:tr>
      <w:tr w:rsidR="002940F3" w14:paraId="2A7D54C6" w14:textId="77777777" w:rsidTr="238D76EA">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4" w14:textId="0C766347" w:rsidR="002940F3" w:rsidRDefault="002940F3">
            <w:pPr>
              <w:pStyle w:val="TableRow"/>
            </w:pPr>
            <w:r>
              <w:rPr>
                <w:szCs w:val="22"/>
              </w:rPr>
              <w:t>Date on which it will be reviewed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5" w14:textId="6BDD7FFF" w:rsidR="002940F3" w:rsidRDefault="004F015D">
            <w:pPr>
              <w:pStyle w:val="TableRow"/>
            </w:pPr>
            <w:r>
              <w:t>December 2024</w:t>
            </w:r>
          </w:p>
        </w:tc>
      </w:tr>
      <w:tr w:rsidR="002940F3" w14:paraId="2A7D54C9" w14:textId="77777777" w:rsidTr="238D76EA">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7" w14:textId="7605248E" w:rsidR="002940F3" w:rsidRDefault="002940F3">
            <w:pPr>
              <w:pStyle w:val="TableRow"/>
            </w:pPr>
            <w:r>
              <w:t>Statement authorised by</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8" w14:textId="16C9933E" w:rsidR="002940F3" w:rsidRDefault="004F015D">
            <w:pPr>
              <w:pStyle w:val="TableRow"/>
            </w:pPr>
            <w:r>
              <w:t>Mark Freeman (HDL)</w:t>
            </w:r>
          </w:p>
        </w:tc>
      </w:tr>
      <w:tr w:rsidR="002940F3" w14:paraId="2A7D54CC" w14:textId="77777777" w:rsidTr="238D76EA">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A" w14:textId="5DC091D2" w:rsidR="002940F3" w:rsidRDefault="002940F3">
            <w:pPr>
              <w:pStyle w:val="TableRow"/>
            </w:pPr>
            <w:r>
              <w:t>Pupil premium lead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B" w14:textId="08F69C9D" w:rsidR="002940F3" w:rsidRDefault="004F015D">
            <w:pPr>
              <w:pStyle w:val="TableRow"/>
            </w:pPr>
            <w:r>
              <w:t>Clare Welbourne</w:t>
            </w:r>
          </w:p>
        </w:tc>
      </w:tr>
      <w:tr w:rsidR="002940F3" w14:paraId="2A7D54CF" w14:textId="77777777" w:rsidTr="238D76EA">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D" w14:textId="08FA5419" w:rsidR="002940F3" w:rsidRDefault="002940F3">
            <w:pPr>
              <w:pStyle w:val="TableRow"/>
            </w:pPr>
            <w:r>
              <w:t xml:space="preserve">Governor </w:t>
            </w:r>
            <w:r>
              <w:rPr>
                <w:szCs w:val="22"/>
              </w:rPr>
              <w:t xml:space="preserve">/ Trustee </w:t>
            </w:r>
            <w:r>
              <w:t>lead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E" w14:textId="3AE749E2" w:rsidR="002940F3" w:rsidRDefault="004F015D">
            <w:pPr>
              <w:pStyle w:val="TableRow"/>
            </w:pPr>
            <w:r>
              <w:t>John Riley</w:t>
            </w:r>
          </w:p>
        </w:tc>
      </w:tr>
    </w:tbl>
    <w:bookmarkEnd w:id="2"/>
    <w:bookmarkEnd w:id="3"/>
    <w:bookmarkEnd w:id="4"/>
    <w:p w14:paraId="2A7D54D3" w14:textId="77777777" w:rsidR="00E66558" w:rsidRPr="005464A1" w:rsidRDefault="009D71E8" w:rsidP="005464A1">
      <w:pPr>
        <w:pStyle w:val="Heading2"/>
      </w:pPr>
      <w: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rsidTr="00CA4421">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FDCE3"/>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FDCE3"/>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rsidTr="625D1A15">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152073D" w14:textId="77777777" w:rsidR="00E66558" w:rsidRDefault="009D71E8">
            <w:pPr>
              <w:pStyle w:val="TableRow"/>
            </w:pPr>
            <w:r>
              <w:t>£</w:t>
            </w:r>
            <w:r w:rsidR="00C4475D">
              <w:t>294750</w:t>
            </w:r>
          </w:p>
          <w:p w14:paraId="2A7D54D8" w14:textId="7116DE4A" w:rsidR="00C4475D" w:rsidRDefault="00C4475D">
            <w:pPr>
              <w:pStyle w:val="TableRow"/>
            </w:pPr>
            <w:r>
              <w:t>+£4042 EY</w:t>
            </w:r>
          </w:p>
        </w:tc>
      </w:tr>
      <w:tr w:rsidR="00E66558" w14:paraId="2A7D54DC" w14:textId="77777777" w:rsidTr="625D1A15">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321C9B95" w14:textId="77777777" w:rsidR="00E66558" w:rsidRDefault="009D71E8">
            <w:pPr>
              <w:pStyle w:val="TableRow"/>
            </w:pPr>
            <w:r>
              <w:t>Recovery premium funding allocation this academic year</w:t>
            </w:r>
          </w:p>
          <w:p w14:paraId="2A7D54DA" w14:textId="7E741F29" w:rsidR="00CA5363" w:rsidRPr="005F16B6" w:rsidRDefault="00CA5363" w:rsidP="00CA5363">
            <w:pPr>
              <w:pStyle w:val="TableRow"/>
              <w:rPr>
                <w:i/>
                <w:iCs/>
              </w:rPr>
            </w:pPr>
            <w:r w:rsidRPr="005F16B6">
              <w:rPr>
                <w:i/>
                <w:iCs/>
              </w:rPr>
              <w:t>Recovery premium received in academic year 2023</w:t>
            </w:r>
            <w:r w:rsidR="00762652" w:rsidRPr="005F16B6">
              <w:rPr>
                <w:i/>
                <w:iCs/>
              </w:rPr>
              <w:t>/</w:t>
            </w:r>
            <w:r w:rsidRPr="005F16B6">
              <w:rPr>
                <w:i/>
                <w:iCs/>
              </w:rPr>
              <w:t>24 cannot be carried forward beyond August 31</w:t>
            </w:r>
            <w:r w:rsidR="00257A4E">
              <w:rPr>
                <w:i/>
                <w:iCs/>
              </w:rPr>
              <w:t>,</w:t>
            </w:r>
            <w:r w:rsidRPr="005F16B6">
              <w:rPr>
                <w:i/>
                <w:iCs/>
              </w:rPr>
              <w:t xml:space="preserve"> 2024.</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B" w14:textId="745AD6AE" w:rsidR="00E66558" w:rsidRDefault="009D71E8">
            <w:pPr>
              <w:pStyle w:val="TableRow"/>
            </w:pPr>
            <w:r>
              <w:t>£</w:t>
            </w:r>
            <w:r w:rsidR="00C4475D">
              <w:t>0</w:t>
            </w:r>
          </w:p>
        </w:tc>
      </w:tr>
      <w:tr w:rsidR="00E66558" w14:paraId="2A7D54DF" w14:textId="77777777" w:rsidTr="625D1A15">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A7D54DD" w14:textId="74690F68" w:rsidR="007109F6" w:rsidRPr="005F16B6" w:rsidRDefault="009D71E8" w:rsidP="005F16B6">
            <w:pPr>
              <w:pStyle w:val="TableRow"/>
              <w:spacing w:after="120"/>
            </w:pPr>
            <w:r>
              <w:t>Pupil premium</w:t>
            </w:r>
            <w:r w:rsidR="005F16B6">
              <w:t xml:space="preserve"> </w:t>
            </w:r>
            <w:r>
              <w:t xml:space="preserve">funding carried forward from previous years </w:t>
            </w:r>
            <w:r w:rsidRPr="008E000B">
              <w:rPr>
                <w:i/>
                <w:iCs/>
              </w:rPr>
              <w:t>(enter £0 if not applicable)</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E" w14:textId="2B084C14" w:rsidR="00E66558" w:rsidRDefault="009D71E8">
            <w:pPr>
              <w:pStyle w:val="TableRow"/>
            </w:pPr>
            <w:r>
              <w:t>£</w:t>
            </w:r>
            <w:r w:rsidR="00C4475D">
              <w:t>0</w:t>
            </w:r>
          </w:p>
        </w:tc>
      </w:tr>
      <w:tr w:rsidR="00E66558" w14:paraId="2A7D54E3" w14:textId="77777777" w:rsidTr="625D1A15">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E0" w14:textId="77777777" w:rsidR="00E66558" w:rsidRDefault="009D71E8" w:rsidP="009C0914">
            <w:pPr>
              <w:pStyle w:val="TableRow"/>
              <w:spacing w:after="120"/>
              <w:rPr>
                <w:b/>
              </w:rPr>
            </w:pPr>
            <w:r>
              <w:rPr>
                <w:b/>
              </w:rPr>
              <w:t>Total budget for this academic year</w:t>
            </w:r>
          </w:p>
          <w:p w14:paraId="2A7D54E1" w14:textId="529478CC" w:rsidR="00E66558" w:rsidRPr="003C4388" w:rsidRDefault="00E66558">
            <w:pPr>
              <w:pStyle w:val="TableRow"/>
              <w:rPr>
                <w:i/>
                <w:iCs/>
              </w:rPr>
            </w:pP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E2" w14:textId="4E8050F4" w:rsidR="00E66558" w:rsidRDefault="009D71E8">
            <w:pPr>
              <w:pStyle w:val="TableRow"/>
            </w:pPr>
            <w:r>
              <w:t>£</w:t>
            </w:r>
            <w:r w:rsidR="00C4475D">
              <w:t>298,792</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5" w:name="_Toc357771640"/>
      <w:bookmarkStart w:id="16"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FF82D3" w14:textId="14D3E291" w:rsidR="00C4475D" w:rsidRDefault="00C4475D" w:rsidP="00C4475D">
            <w:pPr>
              <w:spacing w:before="120" w:after="0"/>
              <w:rPr>
                <w:i/>
                <w:iCs/>
              </w:rPr>
            </w:pPr>
            <w:r>
              <w:rPr>
                <w:i/>
                <w:iCs/>
              </w:rPr>
              <w:t>Context</w:t>
            </w:r>
          </w:p>
          <w:p w14:paraId="50CC549A" w14:textId="77777777" w:rsidR="00C4475D" w:rsidRDefault="00C4475D" w:rsidP="00C4475D">
            <w:pPr>
              <w:pStyle w:val="paragraph"/>
              <w:spacing w:before="0" w:beforeAutospacing="0" w:after="0" w:afterAutospacing="0"/>
              <w:jc w:val="center"/>
              <w:textAlignment w:val="baseline"/>
              <w:rPr>
                <w:rFonts w:ascii="Segoe UI" w:hAnsi="Segoe UI" w:cs="Segoe UI"/>
                <w:color w:val="000000"/>
                <w:sz w:val="18"/>
                <w:szCs w:val="18"/>
              </w:rPr>
            </w:pPr>
            <w:r>
              <w:rPr>
                <w:rStyle w:val="normaltextrun"/>
                <w:rFonts w:ascii="Calibri" w:hAnsi="Calibri" w:cs="Segoe UI"/>
                <w:b/>
                <w:bCs/>
                <w:color w:val="000000"/>
                <w:sz w:val="22"/>
                <w:szCs w:val="22"/>
                <w:u w:val="single"/>
                <w:lang w:val="en-US"/>
              </w:rPr>
              <w:t>Being Different, Belonging Together</w:t>
            </w:r>
            <w:r>
              <w:rPr>
                <w:rStyle w:val="eop"/>
                <w:rFonts w:ascii="Calibri" w:hAnsi="Calibri" w:cs="Segoe UI"/>
                <w:color w:val="000000"/>
                <w:sz w:val="22"/>
                <w:szCs w:val="22"/>
              </w:rPr>
              <w:t> </w:t>
            </w:r>
          </w:p>
          <w:p w14:paraId="49D66772" w14:textId="33716A70" w:rsidR="00C4475D" w:rsidRDefault="00C4475D" w:rsidP="00C4475D">
            <w:pPr>
              <w:pStyle w:val="paragraph"/>
              <w:numPr>
                <w:ilvl w:val="0"/>
                <w:numId w:val="15"/>
              </w:numPr>
              <w:spacing w:before="0" w:beforeAutospacing="0" w:after="0" w:afterAutospacing="0"/>
              <w:ind w:left="0" w:firstLine="0"/>
              <w:textAlignment w:val="baseline"/>
              <w:rPr>
                <w:rFonts w:ascii="Calibri" w:hAnsi="Calibri" w:cs="Segoe UI"/>
                <w:sz w:val="22"/>
                <w:szCs w:val="22"/>
              </w:rPr>
            </w:pPr>
            <w:r>
              <w:rPr>
                <w:rStyle w:val="normaltextrun"/>
                <w:rFonts w:ascii="Calibri" w:hAnsi="Calibri" w:cs="Segoe UI"/>
                <w:color w:val="000000"/>
                <w:sz w:val="22"/>
                <w:szCs w:val="22"/>
                <w:lang w:val="en-US"/>
              </w:rPr>
              <w:t>Easton is a larger than average primary academy with 410 pupils on roll, including Nursery. It is located to the east of Bristol city centre within a densely populated area, where the majority of pupils live in high rise local authority housing, much of which is overcrowded.</w:t>
            </w:r>
            <w:r>
              <w:rPr>
                <w:rStyle w:val="eop"/>
                <w:rFonts w:ascii="Calibri" w:hAnsi="Calibri" w:cs="Segoe UI"/>
                <w:color w:val="000000"/>
                <w:sz w:val="22"/>
                <w:szCs w:val="22"/>
              </w:rPr>
              <w:t> </w:t>
            </w:r>
          </w:p>
          <w:p w14:paraId="414B4F8A" w14:textId="77777777" w:rsidR="00C4475D" w:rsidRDefault="00C4475D" w:rsidP="00C4475D">
            <w:pPr>
              <w:pStyle w:val="paragraph"/>
              <w:numPr>
                <w:ilvl w:val="0"/>
                <w:numId w:val="15"/>
              </w:numPr>
              <w:spacing w:before="0" w:beforeAutospacing="0" w:after="0" w:afterAutospacing="0"/>
              <w:ind w:left="0" w:firstLine="0"/>
              <w:textAlignment w:val="baseline"/>
              <w:rPr>
                <w:rFonts w:ascii="Calibri" w:hAnsi="Calibri" w:cs="Segoe UI"/>
                <w:sz w:val="22"/>
                <w:szCs w:val="22"/>
              </w:rPr>
            </w:pPr>
            <w:r>
              <w:rPr>
                <w:rStyle w:val="normaltextrun"/>
                <w:rFonts w:ascii="Calibri" w:hAnsi="Calibri" w:cs="Segoe UI"/>
                <w:color w:val="000000"/>
                <w:sz w:val="22"/>
                <w:szCs w:val="22"/>
                <w:lang w:val="en-US"/>
              </w:rPr>
              <w:t>The academy serves an area of significant deprivation. 61% of pupils qualify as FSM6 and 99% of pupils live in the highest 10% areas of deprivation (IDACR). The Lower Level Super Output (LSOA) area in which the school is situated, is ranked 743</w:t>
            </w:r>
            <w:r>
              <w:rPr>
                <w:rStyle w:val="spellingerrorsuperscript"/>
                <w:rFonts w:ascii="Calibri" w:hAnsi="Calibri" w:cs="Segoe UI"/>
                <w:color w:val="000000"/>
                <w:sz w:val="17"/>
                <w:szCs w:val="17"/>
                <w:vertAlign w:val="superscript"/>
                <w:lang w:val="en-US"/>
              </w:rPr>
              <w:t>rd</w:t>
            </w:r>
            <w:r>
              <w:rPr>
                <w:rStyle w:val="normaltextrun"/>
                <w:rFonts w:ascii="Calibri" w:hAnsi="Calibri" w:cs="Segoe UI"/>
                <w:color w:val="000000"/>
                <w:sz w:val="22"/>
                <w:szCs w:val="22"/>
                <w:lang w:val="en-US"/>
              </w:rPr>
              <w:t>  out of 32,844  in the country. </w:t>
            </w:r>
            <w:r>
              <w:rPr>
                <w:rStyle w:val="eop"/>
                <w:rFonts w:ascii="Calibri" w:hAnsi="Calibri" w:cs="Segoe UI"/>
                <w:color w:val="000000"/>
                <w:sz w:val="22"/>
                <w:szCs w:val="22"/>
              </w:rPr>
              <w:t> </w:t>
            </w:r>
          </w:p>
          <w:p w14:paraId="1FA78515" w14:textId="2421FEC4" w:rsidR="00C4475D" w:rsidRPr="00102E06" w:rsidRDefault="00C4475D" w:rsidP="00C4475D">
            <w:pPr>
              <w:pStyle w:val="paragraph"/>
              <w:numPr>
                <w:ilvl w:val="0"/>
                <w:numId w:val="15"/>
              </w:numPr>
              <w:spacing w:before="0" w:beforeAutospacing="0" w:after="0" w:afterAutospacing="0"/>
              <w:ind w:left="0" w:firstLine="0"/>
              <w:textAlignment w:val="baseline"/>
              <w:rPr>
                <w:rStyle w:val="eop"/>
                <w:rFonts w:ascii="Calibri" w:hAnsi="Calibri" w:cs="Segoe UI"/>
                <w:sz w:val="22"/>
                <w:szCs w:val="22"/>
              </w:rPr>
            </w:pPr>
            <w:r>
              <w:rPr>
                <w:rStyle w:val="normaltextrun"/>
                <w:rFonts w:ascii="Calibri" w:hAnsi="Calibri" w:cs="Segoe UI"/>
                <w:color w:val="000000"/>
                <w:sz w:val="22"/>
                <w:szCs w:val="22"/>
                <w:lang w:val="en-US"/>
              </w:rPr>
              <w:t>98% of the pupils are Minority Ethnic. 65% of the pupils are Black African with the vast majority being Somali. They form part of one of the largest Somali communities in the UK. Other significant ethnic backgrounds are Asian, Asian Briti</w:t>
            </w:r>
            <w:r w:rsidR="00102E06">
              <w:rPr>
                <w:rStyle w:val="normaltextrun"/>
                <w:rFonts w:ascii="Calibri" w:hAnsi="Calibri" w:cs="Segoe UI"/>
                <w:color w:val="000000"/>
                <w:sz w:val="22"/>
                <w:szCs w:val="22"/>
                <w:lang w:val="en-US"/>
              </w:rPr>
              <w:t>sh and Ca</w:t>
            </w:r>
            <w:r>
              <w:rPr>
                <w:rStyle w:val="normaltextrun"/>
                <w:rFonts w:ascii="Calibri" w:hAnsi="Calibri" w:cs="Segoe UI"/>
                <w:color w:val="000000"/>
                <w:sz w:val="22"/>
                <w:szCs w:val="22"/>
                <w:lang w:val="en-US"/>
              </w:rPr>
              <w:t>rib</w:t>
            </w:r>
            <w:r w:rsidR="00102E06">
              <w:rPr>
                <w:rStyle w:val="normaltextrun"/>
                <w:rFonts w:ascii="Calibri" w:hAnsi="Calibri" w:cs="Segoe UI"/>
                <w:color w:val="000000"/>
                <w:sz w:val="22"/>
                <w:szCs w:val="22"/>
                <w:lang w:val="en-US"/>
              </w:rPr>
              <w:t>b</w:t>
            </w:r>
            <w:r>
              <w:rPr>
                <w:rStyle w:val="normaltextrun"/>
                <w:rFonts w:ascii="Calibri" w:hAnsi="Calibri" w:cs="Segoe UI"/>
                <w:color w:val="000000"/>
                <w:sz w:val="22"/>
                <w:szCs w:val="22"/>
                <w:lang w:val="en-US"/>
              </w:rPr>
              <w:t>ean. 85% of pupils have EAL and most children arrive in nursery with little English. There are over 30 first languages spoken in the school. In the last year 36 children who are new to the UK have been admitted into the school. Almost all of those needed significant support in English, but made rapid progress with that support.</w:t>
            </w:r>
            <w:r>
              <w:rPr>
                <w:rStyle w:val="eop"/>
                <w:rFonts w:ascii="Calibri" w:hAnsi="Calibri" w:cs="Segoe UI"/>
                <w:color w:val="000000"/>
                <w:sz w:val="22"/>
                <w:szCs w:val="22"/>
              </w:rPr>
              <w:t> </w:t>
            </w:r>
          </w:p>
          <w:p w14:paraId="47377C58" w14:textId="7A059BE7" w:rsidR="00102E06" w:rsidRDefault="00102E06" w:rsidP="00102E06">
            <w:pPr>
              <w:pStyle w:val="paragraph"/>
              <w:spacing w:before="0" w:beforeAutospacing="0" w:after="0" w:afterAutospacing="0"/>
              <w:textAlignment w:val="baseline"/>
              <w:rPr>
                <w:rStyle w:val="eop"/>
                <w:rFonts w:ascii="Calibri" w:hAnsi="Calibri" w:cs="Segoe UI"/>
                <w:color w:val="000000"/>
                <w:sz w:val="22"/>
                <w:szCs w:val="22"/>
              </w:rPr>
            </w:pPr>
          </w:p>
          <w:p w14:paraId="443AF104" w14:textId="73950AC3" w:rsidR="00102E06" w:rsidRPr="00070880" w:rsidRDefault="00102E06" w:rsidP="00102E06">
            <w:pPr>
              <w:spacing w:after="0"/>
              <w:rPr>
                <w:b/>
                <w:i/>
                <w:iCs/>
              </w:rPr>
            </w:pPr>
            <w:r w:rsidRPr="00070880">
              <w:rPr>
                <w:b/>
                <w:i/>
                <w:iCs/>
              </w:rPr>
              <w:t>What are your ultimate objectives for your disadvantaged pupils?</w:t>
            </w:r>
          </w:p>
          <w:p w14:paraId="37CACC5B" w14:textId="77777777" w:rsidR="00070880" w:rsidRPr="00102E06" w:rsidRDefault="00070880" w:rsidP="00102E06">
            <w:pPr>
              <w:spacing w:after="0"/>
              <w:rPr>
                <w:rStyle w:val="eop"/>
                <w:i/>
                <w:iCs/>
              </w:rPr>
            </w:pPr>
          </w:p>
          <w:p w14:paraId="2C3EDDC3" w14:textId="39656E4B" w:rsidR="00070880" w:rsidRDefault="00070880" w:rsidP="00070880">
            <w:pPr>
              <w:widowControl w:val="0"/>
              <w:suppressAutoHyphens w:val="0"/>
              <w:autoSpaceDE w:val="0"/>
              <w:adjustRightInd w:val="0"/>
              <w:spacing w:after="0" w:line="240" w:lineRule="auto"/>
              <w:jc w:val="both"/>
              <w:rPr>
                <w:rFonts w:asciiTheme="minorHAnsi" w:hAnsiTheme="minorHAnsi" w:cstheme="minorHAnsi"/>
                <w:sz w:val="22"/>
                <w:szCs w:val="22"/>
              </w:rPr>
            </w:pPr>
            <w:r w:rsidRPr="00070880">
              <w:rPr>
                <w:rFonts w:asciiTheme="minorHAnsi" w:hAnsiTheme="minorHAnsi" w:cstheme="minorHAnsi"/>
                <w:sz w:val="22"/>
                <w:szCs w:val="22"/>
              </w:rPr>
              <w:t>The ultimate objective for the Easton CE Academy Pupil Premium Strategy is to ensure that disadvantaged children acquire the necessary knowledge, skills and cultural capital to succeed in the next phase of their education and in their life in general</w:t>
            </w:r>
            <w:r>
              <w:rPr>
                <w:rFonts w:asciiTheme="minorHAnsi" w:hAnsiTheme="minorHAnsi" w:cstheme="minorHAnsi"/>
                <w:sz w:val="22"/>
                <w:szCs w:val="22"/>
              </w:rPr>
              <w:t>.</w:t>
            </w:r>
          </w:p>
          <w:p w14:paraId="03450DFD" w14:textId="77777777" w:rsidR="00070880" w:rsidRDefault="00070880" w:rsidP="00070880">
            <w:pPr>
              <w:widowControl w:val="0"/>
              <w:suppressAutoHyphens w:val="0"/>
              <w:autoSpaceDE w:val="0"/>
              <w:adjustRightInd w:val="0"/>
              <w:spacing w:after="0" w:line="240" w:lineRule="auto"/>
              <w:jc w:val="both"/>
              <w:rPr>
                <w:rFonts w:asciiTheme="minorHAnsi" w:hAnsiTheme="minorHAnsi" w:cstheme="minorHAnsi"/>
                <w:sz w:val="22"/>
                <w:szCs w:val="22"/>
              </w:rPr>
            </w:pPr>
          </w:p>
          <w:p w14:paraId="73148ABC" w14:textId="77777777" w:rsidR="00070880" w:rsidRPr="00070880" w:rsidRDefault="00070880" w:rsidP="00070880">
            <w:pPr>
              <w:spacing w:before="120"/>
              <w:rPr>
                <w:rFonts w:eastAsia="Arial" w:cs="Arial"/>
                <w:color w:val="000000" w:themeColor="text1"/>
              </w:rPr>
            </w:pPr>
            <w:r w:rsidRPr="00070880">
              <w:rPr>
                <w:rFonts w:eastAsia="Arial" w:cs="Arial"/>
                <w:b/>
                <w:bCs/>
                <w:i/>
                <w:iCs/>
                <w:color w:val="000000" w:themeColor="text1"/>
              </w:rPr>
              <w:t>Key principles of the pupil premium strategy:</w:t>
            </w:r>
          </w:p>
          <w:p w14:paraId="761B4A13" w14:textId="53BCB587" w:rsidR="00070880" w:rsidRPr="00070880" w:rsidRDefault="00070880" w:rsidP="00070880">
            <w:pPr>
              <w:spacing w:after="0"/>
              <w:rPr>
                <w:rFonts w:asciiTheme="minorHAnsi" w:eastAsia="Arial" w:hAnsiTheme="minorHAnsi" w:cs="Arial"/>
                <w:color w:val="000000" w:themeColor="text1"/>
                <w:sz w:val="22"/>
                <w:szCs w:val="22"/>
              </w:rPr>
            </w:pPr>
            <w:r w:rsidRPr="00070880">
              <w:rPr>
                <w:rFonts w:asciiTheme="minorHAnsi" w:eastAsia="Arial" w:hAnsiTheme="minorHAnsi" w:cs="Arial"/>
                <w:i/>
                <w:iCs/>
                <w:color w:val="000000" w:themeColor="text1"/>
                <w:sz w:val="22"/>
                <w:szCs w:val="22"/>
              </w:rPr>
              <w:t>Easton</w:t>
            </w:r>
            <w:r>
              <w:rPr>
                <w:rFonts w:asciiTheme="minorHAnsi" w:eastAsia="Arial" w:hAnsiTheme="minorHAnsi" w:cs="Arial"/>
                <w:i/>
                <w:iCs/>
                <w:color w:val="000000" w:themeColor="text1"/>
                <w:sz w:val="22"/>
                <w:szCs w:val="22"/>
              </w:rPr>
              <w:t xml:space="preserve"> CE Academy will:</w:t>
            </w:r>
          </w:p>
          <w:p w14:paraId="0FF5BDCE" w14:textId="77777777" w:rsidR="00070880" w:rsidRPr="00070880" w:rsidRDefault="00070880" w:rsidP="00070880">
            <w:pPr>
              <w:numPr>
                <w:ilvl w:val="0"/>
                <w:numId w:val="19"/>
              </w:numPr>
              <w:spacing w:after="0"/>
              <w:contextualSpacing/>
              <w:rPr>
                <w:rFonts w:asciiTheme="minorHAnsi" w:eastAsia="Arial" w:hAnsiTheme="minorHAnsi" w:cs="Arial"/>
                <w:color w:val="000000" w:themeColor="text1"/>
                <w:sz w:val="22"/>
                <w:szCs w:val="22"/>
              </w:rPr>
            </w:pPr>
            <w:r w:rsidRPr="00070880">
              <w:rPr>
                <w:rFonts w:asciiTheme="minorHAnsi" w:eastAsia="Arial" w:hAnsiTheme="minorHAnsi" w:cs="Arial"/>
                <w:color w:val="000000" w:themeColor="text1"/>
                <w:sz w:val="22"/>
                <w:szCs w:val="22"/>
              </w:rPr>
              <w:t>Have a deep understanding of its local context and the effect that socio-economic disadvantage can have on a child’s education.</w:t>
            </w:r>
          </w:p>
          <w:p w14:paraId="617F47E6" w14:textId="77777777" w:rsidR="00070880" w:rsidRPr="00070880" w:rsidRDefault="00070880" w:rsidP="00070880">
            <w:pPr>
              <w:numPr>
                <w:ilvl w:val="0"/>
                <w:numId w:val="19"/>
              </w:numPr>
              <w:spacing w:after="0"/>
              <w:contextualSpacing/>
              <w:rPr>
                <w:rFonts w:asciiTheme="minorHAnsi" w:eastAsia="Arial" w:hAnsiTheme="minorHAnsi" w:cs="Arial"/>
                <w:color w:val="000000" w:themeColor="text1"/>
                <w:sz w:val="22"/>
                <w:szCs w:val="22"/>
              </w:rPr>
            </w:pPr>
            <w:r w:rsidRPr="00070880">
              <w:rPr>
                <w:rFonts w:asciiTheme="minorHAnsi" w:eastAsia="Arial" w:hAnsiTheme="minorHAnsi" w:cs="Arial"/>
                <w:color w:val="000000" w:themeColor="text1"/>
                <w:sz w:val="22"/>
                <w:szCs w:val="22"/>
              </w:rPr>
              <w:t>Hold the highest ambitions and hopes for all pupils including disadvantaged pupils and those with SEND.</w:t>
            </w:r>
          </w:p>
          <w:p w14:paraId="6AF62801" w14:textId="77777777" w:rsidR="00070880" w:rsidRPr="00070880" w:rsidRDefault="00070880" w:rsidP="00070880">
            <w:pPr>
              <w:numPr>
                <w:ilvl w:val="0"/>
                <w:numId w:val="19"/>
              </w:numPr>
              <w:spacing w:after="0"/>
              <w:contextualSpacing/>
              <w:rPr>
                <w:rFonts w:asciiTheme="minorHAnsi" w:eastAsia="Arial" w:hAnsiTheme="minorHAnsi" w:cs="Arial"/>
                <w:color w:val="000000" w:themeColor="text1"/>
                <w:sz w:val="22"/>
                <w:szCs w:val="22"/>
              </w:rPr>
            </w:pPr>
            <w:r w:rsidRPr="00070880">
              <w:rPr>
                <w:rFonts w:asciiTheme="minorHAnsi" w:eastAsia="Arial" w:hAnsiTheme="minorHAnsi" w:cs="Arial"/>
                <w:color w:val="000000" w:themeColor="text1"/>
                <w:sz w:val="22"/>
                <w:szCs w:val="22"/>
              </w:rPr>
              <w:t>Inform the strategy using the best and most secure educational research evidence.</w:t>
            </w:r>
          </w:p>
          <w:p w14:paraId="0069AC52" w14:textId="77777777" w:rsidR="00070880" w:rsidRPr="00070880" w:rsidRDefault="00070880" w:rsidP="00070880">
            <w:pPr>
              <w:numPr>
                <w:ilvl w:val="0"/>
                <w:numId w:val="19"/>
              </w:numPr>
              <w:spacing w:after="0"/>
              <w:contextualSpacing/>
              <w:rPr>
                <w:rFonts w:asciiTheme="minorHAnsi" w:eastAsia="Arial" w:hAnsiTheme="minorHAnsi" w:cs="Arial"/>
                <w:color w:val="000000" w:themeColor="text1"/>
                <w:sz w:val="22"/>
                <w:szCs w:val="22"/>
              </w:rPr>
            </w:pPr>
            <w:r w:rsidRPr="00070880">
              <w:rPr>
                <w:rFonts w:asciiTheme="minorHAnsi" w:eastAsia="Arial" w:hAnsiTheme="minorHAnsi" w:cs="Arial"/>
                <w:color w:val="000000" w:themeColor="text1"/>
                <w:sz w:val="22"/>
                <w:szCs w:val="22"/>
              </w:rPr>
              <w:t>Focus resource and attention on the quality of teaching in all lessons.</w:t>
            </w:r>
          </w:p>
          <w:p w14:paraId="7104864D" w14:textId="77777777" w:rsidR="00070880" w:rsidRPr="00070880" w:rsidRDefault="00070880" w:rsidP="00070880">
            <w:pPr>
              <w:numPr>
                <w:ilvl w:val="0"/>
                <w:numId w:val="19"/>
              </w:numPr>
              <w:spacing w:after="0"/>
              <w:contextualSpacing/>
              <w:rPr>
                <w:rFonts w:asciiTheme="minorHAnsi" w:eastAsia="Arial" w:hAnsiTheme="minorHAnsi" w:cs="Arial"/>
                <w:color w:val="000000" w:themeColor="text1"/>
                <w:sz w:val="22"/>
                <w:szCs w:val="22"/>
              </w:rPr>
            </w:pPr>
            <w:r w:rsidRPr="00070880">
              <w:rPr>
                <w:rFonts w:asciiTheme="minorHAnsi" w:eastAsia="Arial" w:hAnsiTheme="minorHAnsi" w:cs="Arial"/>
                <w:color w:val="000000" w:themeColor="text1"/>
                <w:sz w:val="22"/>
                <w:szCs w:val="22"/>
              </w:rPr>
              <w:t>Deliver high quality, on-going professional development and support to teachers and teaching assistants to enable them to have the knowledge and skills necessary to be the best educators they can be.</w:t>
            </w:r>
          </w:p>
          <w:p w14:paraId="55A120DF" w14:textId="77777777" w:rsidR="00070880" w:rsidRPr="00070880" w:rsidRDefault="00070880" w:rsidP="00070880">
            <w:pPr>
              <w:numPr>
                <w:ilvl w:val="0"/>
                <w:numId w:val="19"/>
              </w:numPr>
              <w:spacing w:after="0"/>
              <w:contextualSpacing/>
              <w:rPr>
                <w:rFonts w:asciiTheme="minorHAnsi" w:eastAsia="Arial" w:hAnsiTheme="minorHAnsi" w:cs="Arial"/>
                <w:color w:val="000000" w:themeColor="text1"/>
                <w:sz w:val="22"/>
                <w:szCs w:val="22"/>
              </w:rPr>
            </w:pPr>
            <w:r w:rsidRPr="00070880">
              <w:rPr>
                <w:rFonts w:asciiTheme="minorHAnsi" w:eastAsia="Arial" w:hAnsiTheme="minorHAnsi" w:cs="Arial"/>
                <w:color w:val="000000" w:themeColor="text1"/>
                <w:sz w:val="22"/>
                <w:szCs w:val="22"/>
              </w:rPr>
              <w:t>Provide effective keep-up and catch-up academic interventions to prevent children from falling behind.</w:t>
            </w:r>
          </w:p>
          <w:p w14:paraId="765F5AC7" w14:textId="329F30F2" w:rsidR="00070880" w:rsidRPr="00070880" w:rsidRDefault="00070880" w:rsidP="00070880">
            <w:pPr>
              <w:numPr>
                <w:ilvl w:val="0"/>
                <w:numId w:val="19"/>
              </w:numPr>
              <w:spacing w:after="0"/>
              <w:contextualSpacing/>
              <w:rPr>
                <w:rFonts w:asciiTheme="minorHAnsi" w:eastAsia="Arial" w:hAnsiTheme="minorHAnsi" w:cs="Arial"/>
                <w:color w:val="000000" w:themeColor="text1"/>
                <w:sz w:val="22"/>
                <w:szCs w:val="22"/>
              </w:rPr>
            </w:pPr>
            <w:r w:rsidRPr="00070880">
              <w:rPr>
                <w:rFonts w:asciiTheme="minorHAnsi" w:eastAsia="Arial" w:hAnsiTheme="minorHAnsi" w:cs="Arial"/>
                <w:color w:val="000000" w:themeColor="text1"/>
                <w:sz w:val="22"/>
                <w:szCs w:val="22"/>
              </w:rPr>
              <w:t xml:space="preserve">Enable all parents to </w:t>
            </w:r>
            <w:r>
              <w:rPr>
                <w:rFonts w:asciiTheme="minorHAnsi" w:eastAsia="Arial" w:hAnsiTheme="minorHAnsi" w:cs="Arial"/>
                <w:color w:val="000000" w:themeColor="text1"/>
                <w:sz w:val="22"/>
                <w:szCs w:val="22"/>
              </w:rPr>
              <w:t>be</w:t>
            </w:r>
            <w:r w:rsidRPr="00070880">
              <w:rPr>
                <w:rFonts w:asciiTheme="minorHAnsi" w:eastAsia="Arial" w:hAnsiTheme="minorHAnsi" w:cs="Arial"/>
                <w:color w:val="000000" w:themeColor="text1"/>
                <w:sz w:val="22"/>
                <w:szCs w:val="22"/>
              </w:rPr>
              <w:t xml:space="preserve"> valued co-educators </w:t>
            </w:r>
            <w:r>
              <w:rPr>
                <w:rFonts w:asciiTheme="minorHAnsi" w:eastAsia="Arial" w:hAnsiTheme="minorHAnsi" w:cs="Arial"/>
                <w:color w:val="000000" w:themeColor="text1"/>
                <w:sz w:val="22"/>
                <w:szCs w:val="22"/>
              </w:rPr>
              <w:t>working in close partnership with the school.</w:t>
            </w:r>
          </w:p>
          <w:p w14:paraId="2A3C26FD" w14:textId="57F6D798" w:rsidR="00070880" w:rsidRPr="00070880" w:rsidRDefault="00070880" w:rsidP="00070880">
            <w:pPr>
              <w:numPr>
                <w:ilvl w:val="0"/>
                <w:numId w:val="19"/>
              </w:numPr>
              <w:spacing w:after="0"/>
              <w:contextualSpacing/>
              <w:rPr>
                <w:rFonts w:asciiTheme="minorHAnsi" w:eastAsia="Arial" w:hAnsiTheme="minorHAnsi" w:cs="Arial"/>
                <w:color w:val="000000" w:themeColor="text1"/>
                <w:sz w:val="22"/>
                <w:szCs w:val="22"/>
              </w:rPr>
            </w:pPr>
            <w:r w:rsidRPr="00070880">
              <w:rPr>
                <w:rFonts w:asciiTheme="minorHAnsi" w:eastAsia="Arial" w:hAnsiTheme="minorHAnsi" w:cs="Arial"/>
                <w:color w:val="000000" w:themeColor="text1"/>
                <w:sz w:val="22"/>
                <w:szCs w:val="22"/>
              </w:rPr>
              <w:t>Establish an ethos which creates a safe environment where all children thrive.</w:t>
            </w:r>
          </w:p>
          <w:p w14:paraId="2A7D54E9" w14:textId="234CCDFA" w:rsidR="00102E06" w:rsidRPr="00102E06" w:rsidRDefault="00102E06" w:rsidP="00E23BB7">
            <w:pPr>
              <w:spacing w:after="0" w:line="240" w:lineRule="auto"/>
              <w:rPr>
                <w:i/>
                <w:iCs/>
              </w:rPr>
            </w:pPr>
          </w:p>
        </w:tc>
      </w:tr>
    </w:tbl>
    <w:p w14:paraId="2A7D54EB" w14:textId="77777777" w:rsidR="00E66558" w:rsidRDefault="009D71E8">
      <w:pPr>
        <w:pStyle w:val="Heading2"/>
        <w:spacing w:before="600"/>
      </w:pPr>
      <w:r>
        <w:lastRenderedPageBreak/>
        <w:t>Challenges</w:t>
      </w:r>
    </w:p>
    <w:p w14:paraId="2A7D54EC" w14:textId="77777777" w:rsidR="00E66558" w:rsidRDefault="009D71E8" w:rsidP="00AA355B">
      <w:r>
        <w:rPr>
          <w:bCs/>
        </w:rPr>
        <w:t>This details</w:t>
      </w:r>
      <w:r>
        <w:t xml:space="preserve"> the key</w:t>
      </w:r>
      <w:r>
        <w:rPr>
          <w:bCs/>
        </w:rPr>
        <w:t xml:space="preserve"> </w:t>
      </w:r>
      <w:r>
        <w:t xml:space="preserve">challenges to </w:t>
      </w:r>
      <w:r>
        <w:rPr>
          <w:bCs/>
        </w:rPr>
        <w:t>achievement that we have</w:t>
      </w:r>
      <w:r>
        <w:t xml:space="preserve"> identified among </w:t>
      </w:r>
      <w:r>
        <w:rPr>
          <w:bCs/>
        </w:rPr>
        <w:t>our</w:t>
      </w:r>
      <w: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rsidTr="1880A041">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FDCE3"/>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FDCE3"/>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0616AB" w14:paraId="2A7D54F2" w14:textId="77777777" w:rsidTr="1880A041">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0" w14:textId="77777777" w:rsidR="000616AB" w:rsidRDefault="000616AB" w:rsidP="000616AB">
            <w:pPr>
              <w:pStyle w:val="TableRow"/>
              <w:rPr>
                <w:sz w:val="22"/>
                <w:szCs w:val="22"/>
              </w:rPr>
            </w:pPr>
            <w:r>
              <w:rPr>
                <w:sz w:val="22"/>
                <w:szCs w:val="22"/>
              </w:rPr>
              <w:t>1</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1" w14:textId="5D198BC3" w:rsidR="000616AB" w:rsidRPr="000616AB" w:rsidRDefault="000616AB" w:rsidP="000616AB">
            <w:pPr>
              <w:pStyle w:val="TableRowCentered"/>
              <w:jc w:val="left"/>
              <w:rPr>
                <w:sz w:val="22"/>
                <w:szCs w:val="22"/>
              </w:rPr>
            </w:pPr>
            <w:r w:rsidRPr="1880A041">
              <w:rPr>
                <w:sz w:val="22"/>
                <w:szCs w:val="22"/>
              </w:rPr>
              <w:t>Low levels of communication and social skills</w:t>
            </w:r>
            <w:r w:rsidR="5BC2E91E" w:rsidRPr="1880A041">
              <w:rPr>
                <w:sz w:val="22"/>
                <w:szCs w:val="22"/>
              </w:rPr>
              <w:t>, particularly on entry</w:t>
            </w:r>
          </w:p>
        </w:tc>
      </w:tr>
      <w:tr w:rsidR="000616AB" w14:paraId="2A7D54F5" w14:textId="77777777" w:rsidTr="1880A041">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3" w14:textId="77777777" w:rsidR="000616AB" w:rsidRDefault="000616AB" w:rsidP="000616AB">
            <w:pPr>
              <w:pStyle w:val="TableRow"/>
              <w:rPr>
                <w:sz w:val="22"/>
                <w:szCs w:val="22"/>
              </w:rPr>
            </w:pPr>
            <w:r>
              <w:rPr>
                <w:sz w:val="22"/>
                <w:szCs w:val="22"/>
              </w:rPr>
              <w:t>2</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4" w14:textId="19629D0E" w:rsidR="000616AB" w:rsidRPr="000616AB" w:rsidRDefault="000616AB" w:rsidP="000616AB">
            <w:pPr>
              <w:pStyle w:val="TableRowCentered"/>
              <w:jc w:val="left"/>
              <w:rPr>
                <w:sz w:val="22"/>
                <w:szCs w:val="22"/>
              </w:rPr>
            </w:pPr>
            <w:r w:rsidRPr="000616AB">
              <w:rPr>
                <w:sz w:val="22"/>
                <w:szCs w:val="22"/>
              </w:rPr>
              <w:t xml:space="preserve">Limited range of experiences and access to cultural opportunities </w:t>
            </w:r>
          </w:p>
        </w:tc>
      </w:tr>
      <w:tr w:rsidR="000616AB" w14:paraId="2A7D54F8" w14:textId="77777777" w:rsidTr="1880A041">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6" w14:textId="77777777" w:rsidR="000616AB" w:rsidRDefault="000616AB" w:rsidP="000616AB">
            <w:pPr>
              <w:pStyle w:val="TableRow"/>
              <w:rPr>
                <w:sz w:val="22"/>
                <w:szCs w:val="22"/>
              </w:rPr>
            </w:pPr>
            <w:r>
              <w:rPr>
                <w:sz w:val="22"/>
                <w:szCs w:val="22"/>
              </w:rPr>
              <w:t>3</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7" w14:textId="50E3C09C" w:rsidR="000616AB" w:rsidRPr="000616AB" w:rsidRDefault="000616AB" w:rsidP="000616AB">
            <w:pPr>
              <w:pStyle w:val="TableRowCentered"/>
              <w:jc w:val="left"/>
              <w:rPr>
                <w:sz w:val="22"/>
                <w:szCs w:val="22"/>
              </w:rPr>
            </w:pPr>
            <w:r w:rsidRPr="000616AB">
              <w:rPr>
                <w:sz w:val="22"/>
                <w:szCs w:val="22"/>
              </w:rPr>
              <w:t>Low levels of engagement, resilience in learning, self-regulation and self esteem</w:t>
            </w:r>
          </w:p>
        </w:tc>
      </w:tr>
      <w:tr w:rsidR="000616AB" w14:paraId="2A7D54FB" w14:textId="77777777" w:rsidTr="1880A041">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9" w14:textId="77777777" w:rsidR="000616AB" w:rsidRDefault="000616AB" w:rsidP="000616AB">
            <w:pPr>
              <w:pStyle w:val="TableRow"/>
              <w:rPr>
                <w:sz w:val="22"/>
                <w:szCs w:val="22"/>
              </w:rPr>
            </w:pPr>
            <w:r>
              <w:rPr>
                <w:sz w:val="22"/>
                <w:szCs w:val="22"/>
              </w:rPr>
              <w:t>4</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A" w14:textId="0A48644E" w:rsidR="000616AB" w:rsidRPr="000616AB" w:rsidRDefault="000616AB" w:rsidP="000616AB">
            <w:pPr>
              <w:pStyle w:val="TableRowCentered"/>
              <w:jc w:val="left"/>
              <w:rPr>
                <w:iCs/>
                <w:sz w:val="22"/>
                <w:szCs w:val="22"/>
              </w:rPr>
            </w:pPr>
            <w:r w:rsidRPr="000616AB">
              <w:rPr>
                <w:iCs/>
                <w:sz w:val="22"/>
                <w:szCs w:val="22"/>
              </w:rPr>
              <w:t>Limited capacity to support learning at home.</w:t>
            </w:r>
          </w:p>
        </w:tc>
      </w:tr>
      <w:tr w:rsidR="000616AB" w14:paraId="2A7D54FE" w14:textId="77777777" w:rsidTr="1880A041">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C" w14:textId="77777777" w:rsidR="000616AB" w:rsidRDefault="000616AB" w:rsidP="000616AB">
            <w:pPr>
              <w:pStyle w:val="TableRow"/>
              <w:rPr>
                <w:sz w:val="22"/>
                <w:szCs w:val="22"/>
              </w:rPr>
            </w:pPr>
            <w:r>
              <w:rPr>
                <w:sz w:val="22"/>
                <w:szCs w:val="22"/>
              </w:rPr>
              <w:t>5</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D" w14:textId="62369782" w:rsidR="000616AB" w:rsidRPr="000616AB" w:rsidRDefault="000616AB" w:rsidP="000616AB">
            <w:pPr>
              <w:pStyle w:val="TableRowCentered"/>
              <w:jc w:val="left"/>
              <w:rPr>
                <w:iCs/>
                <w:sz w:val="22"/>
                <w:szCs w:val="22"/>
              </w:rPr>
            </w:pPr>
            <w:r w:rsidRPr="000616AB">
              <w:rPr>
                <w:sz w:val="22"/>
                <w:szCs w:val="22"/>
              </w:rPr>
              <w:t>Increased social emotional mental health needs, often linked to ACEs (adverse childhood experiences).</w:t>
            </w:r>
          </w:p>
        </w:tc>
      </w:tr>
      <w:tr w:rsidR="000616AB" w14:paraId="107AEC20" w14:textId="77777777" w:rsidTr="1880A041">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B0F077E" w14:textId="602BFD49" w:rsidR="000616AB" w:rsidRDefault="000616AB" w:rsidP="000616AB">
            <w:pPr>
              <w:pStyle w:val="TableRow"/>
              <w:rPr>
                <w:sz w:val="22"/>
                <w:szCs w:val="22"/>
              </w:rPr>
            </w:pPr>
            <w:r>
              <w:rPr>
                <w:sz w:val="22"/>
                <w:szCs w:val="22"/>
              </w:rPr>
              <w:t>6</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A9F688E" w14:textId="66238FE5" w:rsidR="000616AB" w:rsidRPr="000616AB" w:rsidRDefault="000616AB" w:rsidP="000616AB">
            <w:pPr>
              <w:pStyle w:val="TableRowCentered"/>
              <w:jc w:val="left"/>
              <w:rPr>
                <w:iCs/>
                <w:sz w:val="22"/>
                <w:szCs w:val="22"/>
              </w:rPr>
            </w:pPr>
            <w:r>
              <w:rPr>
                <w:iCs/>
                <w:sz w:val="22"/>
                <w:szCs w:val="22"/>
              </w:rPr>
              <w:t>High levels of deprivation: overcrowding, poor housing, financial hardship</w:t>
            </w:r>
          </w:p>
        </w:tc>
      </w:tr>
      <w:tr w:rsidR="000616AB" w14:paraId="7E5C3CE3" w14:textId="77777777" w:rsidTr="1880A041">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A86FC65" w14:textId="0480768E" w:rsidR="000616AB" w:rsidRDefault="000616AB" w:rsidP="000616AB">
            <w:pPr>
              <w:pStyle w:val="TableRow"/>
              <w:rPr>
                <w:sz w:val="22"/>
                <w:szCs w:val="22"/>
              </w:rPr>
            </w:pPr>
            <w:r>
              <w:rPr>
                <w:sz w:val="22"/>
                <w:szCs w:val="22"/>
              </w:rPr>
              <w:t>7</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78D9A11" w14:textId="089A8A7A" w:rsidR="000616AB" w:rsidRPr="000616AB" w:rsidRDefault="000616AB" w:rsidP="000616AB">
            <w:pPr>
              <w:pStyle w:val="TableRowCentered"/>
              <w:jc w:val="left"/>
              <w:rPr>
                <w:iCs/>
                <w:sz w:val="22"/>
                <w:szCs w:val="22"/>
              </w:rPr>
            </w:pPr>
            <w:r>
              <w:rPr>
                <w:iCs/>
                <w:sz w:val="22"/>
                <w:szCs w:val="22"/>
              </w:rPr>
              <w:t>Low attainment on entry</w:t>
            </w:r>
          </w:p>
        </w:tc>
      </w:tr>
      <w:tr w:rsidR="000616AB" w14:paraId="5846735C" w14:textId="77777777" w:rsidTr="1880A041">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54A8598" w14:textId="77777777" w:rsidR="000616AB" w:rsidRDefault="000616AB" w:rsidP="000616AB">
            <w:pPr>
              <w:pStyle w:val="TableRow"/>
              <w:rPr>
                <w:sz w:val="22"/>
                <w:szCs w:val="22"/>
              </w:rPr>
            </w:pP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6F3F68F" w14:textId="627D7AA3" w:rsidR="000616AB" w:rsidRPr="000616AB" w:rsidRDefault="000616AB" w:rsidP="000616AB">
            <w:pPr>
              <w:pStyle w:val="TableRowCentered"/>
              <w:jc w:val="left"/>
              <w:rPr>
                <w:iCs/>
                <w:sz w:val="22"/>
                <w:szCs w:val="22"/>
              </w:rPr>
            </w:pPr>
          </w:p>
        </w:tc>
      </w:tr>
    </w:tbl>
    <w:p w14:paraId="2A7D54FF" w14:textId="77777777" w:rsidR="00E66558" w:rsidRDefault="009D71E8">
      <w:pPr>
        <w:pStyle w:val="Heading2"/>
        <w:spacing w:before="600"/>
      </w:pPr>
      <w:bookmarkStart w:id="17" w:name="_Toc443397160"/>
      <w:r>
        <w:t xml:space="preserve">Intended </w:t>
      </w:r>
      <w:r w:rsidRPr="00A968DA">
        <w:t>outcomes</w:t>
      </w:r>
      <w:r>
        <w:t xml:space="preserve">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106"/>
        <w:gridCol w:w="5380"/>
      </w:tblGrid>
      <w:tr w:rsidR="00E66558" w14:paraId="2A7D5503" w14:textId="77777777" w:rsidTr="006956BF">
        <w:tc>
          <w:tcPr>
            <w:tcW w:w="4106"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2A7D5501" w14:textId="77777777" w:rsidR="00E66558" w:rsidRDefault="009D71E8">
            <w:pPr>
              <w:pStyle w:val="TableHeader"/>
              <w:jc w:val="left"/>
            </w:pPr>
            <w:r>
              <w:t>Intended outcome</w:t>
            </w:r>
          </w:p>
        </w:tc>
        <w:tc>
          <w:tcPr>
            <w:tcW w:w="5380"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2A7D5502" w14:textId="77777777" w:rsidR="00E66558" w:rsidRDefault="009D71E8">
            <w:pPr>
              <w:pStyle w:val="TableHeader"/>
              <w:jc w:val="left"/>
            </w:pPr>
            <w:r>
              <w:t>Success criteria</w:t>
            </w:r>
          </w:p>
        </w:tc>
      </w:tr>
      <w:tr w:rsidR="00E66558" w14:paraId="2A7D5506" w14:textId="77777777" w:rsidTr="006956BF">
        <w:tc>
          <w:tcPr>
            <w:tcW w:w="4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6EB63936" w:rsidR="00E66558" w:rsidRPr="00E23BB7" w:rsidRDefault="000616AB">
            <w:pPr>
              <w:pStyle w:val="TableRow"/>
              <w:rPr>
                <w:rFonts w:cs="Arial"/>
                <w:sz w:val="22"/>
                <w:szCs w:val="22"/>
              </w:rPr>
            </w:pPr>
            <w:r w:rsidRPr="00E23BB7">
              <w:rPr>
                <w:rFonts w:cs="Arial"/>
                <w:sz w:val="22"/>
                <w:szCs w:val="22"/>
              </w:rPr>
              <w:t>To improve academic outcomes across the school</w:t>
            </w:r>
          </w:p>
        </w:tc>
        <w:tc>
          <w:tcPr>
            <w:tcW w:w="53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5" w14:textId="3AAFB5EC" w:rsidR="00E66558" w:rsidRPr="00E23BB7" w:rsidRDefault="006956BF" w:rsidP="006956BF">
            <w:pPr>
              <w:pStyle w:val="TableRowCentered"/>
              <w:jc w:val="left"/>
              <w:rPr>
                <w:rFonts w:cs="Arial"/>
                <w:sz w:val="22"/>
                <w:szCs w:val="22"/>
              </w:rPr>
            </w:pPr>
            <w:r w:rsidRPr="00E23BB7">
              <w:rPr>
                <w:rFonts w:cs="Arial"/>
                <w:sz w:val="22"/>
                <w:szCs w:val="22"/>
              </w:rPr>
              <w:t>PP children t</w:t>
            </w:r>
            <w:r w:rsidR="000616AB" w:rsidRPr="00E23BB7">
              <w:rPr>
                <w:rFonts w:cs="Arial"/>
                <w:sz w:val="22"/>
                <w:szCs w:val="22"/>
              </w:rPr>
              <w:t>o be broadly in line with expected standards at EYFS (GLD); Year 1 phonics, KS1 and KS2 reading, writing and Maths and the multiplication test in year 4</w:t>
            </w:r>
          </w:p>
        </w:tc>
      </w:tr>
      <w:tr w:rsidR="00E66558" w14:paraId="2A7D5509" w14:textId="77777777" w:rsidTr="006956BF">
        <w:tc>
          <w:tcPr>
            <w:tcW w:w="4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79CB1AA0" w:rsidR="00E66558" w:rsidRPr="00E23BB7" w:rsidRDefault="006956BF" w:rsidP="000616AB">
            <w:pPr>
              <w:pStyle w:val="TableRow"/>
              <w:rPr>
                <w:rFonts w:cs="Arial"/>
                <w:sz w:val="22"/>
                <w:szCs w:val="22"/>
              </w:rPr>
            </w:pPr>
            <w:r w:rsidRPr="00E23BB7">
              <w:rPr>
                <w:rFonts w:cs="Arial"/>
                <w:sz w:val="22"/>
                <w:szCs w:val="22"/>
              </w:rPr>
              <w:t>Attendance to continue to improve</w:t>
            </w:r>
          </w:p>
        </w:tc>
        <w:tc>
          <w:tcPr>
            <w:tcW w:w="53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8" w14:textId="2FA34ED5" w:rsidR="00E66558" w:rsidRPr="00E23BB7" w:rsidRDefault="006956BF">
            <w:pPr>
              <w:pStyle w:val="TableRowCentered"/>
              <w:jc w:val="left"/>
              <w:rPr>
                <w:rFonts w:cs="Arial"/>
                <w:sz w:val="22"/>
                <w:szCs w:val="22"/>
              </w:rPr>
            </w:pPr>
            <w:r w:rsidRPr="00E23BB7">
              <w:rPr>
                <w:rFonts w:cs="Arial"/>
                <w:sz w:val="22"/>
                <w:szCs w:val="22"/>
              </w:rPr>
              <w:t>Attendance to be broadly in line with National averages, and no negative gap with non-PP pupils</w:t>
            </w:r>
          </w:p>
        </w:tc>
      </w:tr>
      <w:tr w:rsidR="006956BF" w14:paraId="2A7D550C" w14:textId="77777777" w:rsidTr="006956BF">
        <w:tc>
          <w:tcPr>
            <w:tcW w:w="4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429C1885" w:rsidR="006956BF" w:rsidRPr="00E23BB7" w:rsidRDefault="006956BF" w:rsidP="006956BF">
            <w:pPr>
              <w:spacing w:after="0" w:line="240" w:lineRule="auto"/>
              <w:rPr>
                <w:rFonts w:eastAsia="Arial" w:cs="Arial"/>
                <w:color w:val="000000" w:themeColor="text1"/>
                <w:sz w:val="22"/>
                <w:szCs w:val="22"/>
              </w:rPr>
            </w:pPr>
            <w:r w:rsidRPr="00E23BB7">
              <w:rPr>
                <w:rFonts w:eastAsia="Arial" w:cs="Arial"/>
                <w:color w:val="000000" w:themeColor="text1"/>
                <w:sz w:val="22"/>
                <w:szCs w:val="22"/>
              </w:rPr>
              <w:t>Disadvantaged children will access a rich range of curricular and extra-curricular opportunities and experiences during their time at Easton</w:t>
            </w:r>
          </w:p>
        </w:tc>
        <w:tc>
          <w:tcPr>
            <w:tcW w:w="53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B" w14:textId="16A09433" w:rsidR="006956BF" w:rsidRPr="00E23BB7" w:rsidRDefault="006956BF" w:rsidP="006956BF">
            <w:pPr>
              <w:spacing w:after="0" w:line="240" w:lineRule="auto"/>
              <w:rPr>
                <w:rFonts w:eastAsia="Arial" w:cs="Arial"/>
                <w:color w:val="000000" w:themeColor="text1"/>
                <w:sz w:val="22"/>
                <w:szCs w:val="22"/>
              </w:rPr>
            </w:pPr>
            <w:r w:rsidRPr="00E23BB7">
              <w:rPr>
                <w:rFonts w:eastAsia="Arial" w:cs="Arial"/>
                <w:color w:val="000000" w:themeColor="text1"/>
                <w:sz w:val="22"/>
                <w:szCs w:val="22"/>
              </w:rPr>
              <w:t>Children will be able to talk about opportunities and experiences they have had at school and have the cultural capital necessary to succeed in their next phase of education.</w:t>
            </w:r>
          </w:p>
        </w:tc>
      </w:tr>
      <w:tr w:rsidR="006956BF" w14:paraId="2A7D550F" w14:textId="77777777" w:rsidTr="006956BF">
        <w:tc>
          <w:tcPr>
            <w:tcW w:w="4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D" w14:textId="22ED2598" w:rsidR="006956BF" w:rsidRPr="00E23BB7" w:rsidRDefault="006956BF" w:rsidP="006956BF">
            <w:pPr>
              <w:pStyle w:val="TableRow"/>
              <w:rPr>
                <w:rFonts w:cs="Arial"/>
                <w:sz w:val="22"/>
                <w:szCs w:val="22"/>
              </w:rPr>
            </w:pPr>
            <w:r w:rsidRPr="00E23BB7">
              <w:rPr>
                <w:rFonts w:eastAsia="Arial" w:cs="Arial"/>
                <w:color w:val="0D0D0D" w:themeColor="text1" w:themeTint="F2"/>
                <w:sz w:val="22"/>
                <w:szCs w:val="22"/>
              </w:rPr>
              <w:t>The SEMH needs of children are comprehensively met</w:t>
            </w:r>
          </w:p>
        </w:tc>
        <w:tc>
          <w:tcPr>
            <w:tcW w:w="53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E" w14:textId="7EC80D1C" w:rsidR="006956BF" w:rsidRPr="00E23BB7" w:rsidRDefault="006956BF" w:rsidP="006956BF">
            <w:pPr>
              <w:pStyle w:val="TableRowCentered"/>
              <w:jc w:val="left"/>
              <w:rPr>
                <w:rFonts w:cs="Arial"/>
                <w:sz w:val="22"/>
                <w:szCs w:val="22"/>
              </w:rPr>
            </w:pPr>
            <w:r w:rsidRPr="00E23BB7">
              <w:rPr>
                <w:rFonts w:eastAsia="Arial" w:cs="Arial"/>
                <w:color w:val="0D0D0D" w:themeColor="text1" w:themeTint="F2"/>
                <w:sz w:val="22"/>
                <w:szCs w:val="22"/>
              </w:rPr>
              <w:t>Children with SEMH needs are increasingly able to access learning within the classroom</w:t>
            </w:r>
          </w:p>
        </w:tc>
      </w:tr>
      <w:tr w:rsidR="006956BF" w14:paraId="36371EF7" w14:textId="77777777" w:rsidTr="006956BF">
        <w:tc>
          <w:tcPr>
            <w:tcW w:w="4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7DC77E" w14:textId="77777777" w:rsidR="006956BF" w:rsidRPr="61A0F1F3" w:rsidRDefault="006956BF" w:rsidP="006956BF">
            <w:pPr>
              <w:pStyle w:val="TableRow"/>
              <w:rPr>
                <w:rFonts w:eastAsia="Arial" w:cs="Arial"/>
                <w:color w:val="0D0D0D" w:themeColor="text1" w:themeTint="F2"/>
                <w:sz w:val="18"/>
                <w:szCs w:val="18"/>
              </w:rPr>
            </w:pPr>
          </w:p>
        </w:tc>
        <w:tc>
          <w:tcPr>
            <w:tcW w:w="53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5AE605" w14:textId="77777777" w:rsidR="006956BF" w:rsidRPr="61A0F1F3" w:rsidRDefault="006956BF" w:rsidP="006956BF">
            <w:pPr>
              <w:pStyle w:val="TableRowCentered"/>
              <w:jc w:val="left"/>
              <w:rPr>
                <w:rFonts w:eastAsia="Arial" w:cs="Arial"/>
                <w:color w:val="0D0D0D" w:themeColor="text1" w:themeTint="F2"/>
                <w:sz w:val="18"/>
                <w:szCs w:val="18"/>
              </w:rPr>
            </w:pPr>
          </w:p>
        </w:tc>
      </w:tr>
    </w:tbl>
    <w:p w14:paraId="60BAD9F6" w14:textId="77777777" w:rsidR="00120AB1" w:rsidRDefault="00120AB1" w:rsidP="00ED5108"/>
    <w:p w14:paraId="2A06959E" w14:textId="2218981A" w:rsidR="00120AB1" w:rsidRDefault="00120AB1" w:rsidP="00BD4B12"/>
    <w:p w14:paraId="2A7D5512" w14:textId="7B489199" w:rsidR="00E66558" w:rsidRDefault="009D71E8">
      <w:pPr>
        <w:pStyle w:val="Heading2"/>
      </w:pPr>
      <w:r>
        <w:lastRenderedPageBreak/>
        <w:t>Activity in this academic year</w:t>
      </w:r>
    </w:p>
    <w:p w14:paraId="2A7D5513" w14:textId="603E7BD1" w:rsidR="00E66558" w:rsidRDefault="009D71E8">
      <w:pPr>
        <w:spacing w:after="480"/>
      </w:pPr>
      <w:r>
        <w:t>This details how we intend to spend our pupil premium (and recovery premium</w:t>
      </w:r>
      <w:r w:rsidR="00A112B5">
        <w:t>)</w:t>
      </w:r>
      <w:r>
        <w:t xml:space="preserve"> funding </w:t>
      </w:r>
      <w:r>
        <w:rPr>
          <w:b/>
          <w:bCs/>
        </w:rPr>
        <w:t>this academic year</w:t>
      </w:r>
      <w:r>
        <w:t xml:space="preserve"> to address the challenges listed above.</w:t>
      </w:r>
    </w:p>
    <w:p w14:paraId="5F82C45B" w14:textId="77777777" w:rsidR="006956BF" w:rsidRDefault="006956BF">
      <w:pPr>
        <w:pStyle w:val="Heading3"/>
      </w:pPr>
      <w:r>
        <w:t>Ensuring high quality teaching</w:t>
      </w:r>
    </w:p>
    <w:p w14:paraId="2A7D5514" w14:textId="554E263A" w:rsidR="00E66558" w:rsidRDefault="006956BF" w:rsidP="006956BF">
      <w:pPr>
        <w:spacing w:after="0" w:line="240" w:lineRule="auto"/>
        <w:rPr>
          <w:rFonts w:cs="Arial"/>
          <w:sz w:val="22"/>
          <w:szCs w:val="22"/>
        </w:rPr>
      </w:pPr>
      <w:r w:rsidRPr="006956BF">
        <w:rPr>
          <w:rFonts w:cs="Arial"/>
          <w:sz w:val="22"/>
          <w:szCs w:val="22"/>
        </w:rPr>
        <w:t>We recognise the importance of ensuring all pupils, whatever their background or circumstance, are provided with an education of the highest quality. This will ensure that all our pupils are equipped with the knowledge and skills they will need to succeed in, and beyond school. Strategies to close achievement gaps between groups and individuals are an integral part of every lesson and evident across the curriculum. Within the classroom there is a clear focus on well planned and differentiated lessons that challenge and stretch all pupils. A programme of training supports staff to continually expand and experiment with a full range of teaching strategies and techniques to ensure the achievement gap is closed rapidly through the use of timely and appropriate interventions.</w:t>
      </w:r>
    </w:p>
    <w:p w14:paraId="321D53F7" w14:textId="77777777" w:rsidR="006956BF" w:rsidRPr="006956BF" w:rsidRDefault="006956BF" w:rsidP="006956BF">
      <w:pPr>
        <w:spacing w:after="0" w:line="240" w:lineRule="auto"/>
        <w:rPr>
          <w:rFonts w:cs="Arial"/>
          <w:sz w:val="22"/>
          <w:szCs w:val="22"/>
        </w:rPr>
      </w:pPr>
    </w:p>
    <w:p w14:paraId="2A7D5515" w14:textId="0C0F1CAC" w:rsidR="00E66558" w:rsidRDefault="006956BF">
      <w:r>
        <w:t>Budgeted cost: £</w:t>
      </w:r>
      <w:r w:rsidR="00E23BB7">
        <w:t>121,000</w:t>
      </w:r>
    </w:p>
    <w:tbl>
      <w:tblPr>
        <w:tblW w:w="5078" w:type="pct"/>
        <w:tblCellMar>
          <w:left w:w="10" w:type="dxa"/>
          <w:right w:w="10" w:type="dxa"/>
        </w:tblCellMar>
        <w:tblLook w:val="04A0" w:firstRow="1" w:lastRow="0" w:firstColumn="1" w:lastColumn="0" w:noHBand="0" w:noVBand="1"/>
      </w:tblPr>
      <w:tblGrid>
        <w:gridCol w:w="2312"/>
        <w:gridCol w:w="5871"/>
        <w:gridCol w:w="1531"/>
      </w:tblGrid>
      <w:tr w:rsidR="00E66558" w14:paraId="2A7D5519" w14:textId="77777777" w:rsidTr="00DD19F8">
        <w:tc>
          <w:tcPr>
            <w:tcW w:w="2259"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2A7D5516" w14:textId="77777777" w:rsidR="00E66558" w:rsidRDefault="009D71E8">
            <w:pPr>
              <w:pStyle w:val="TableHeader"/>
              <w:jc w:val="left"/>
            </w:pPr>
            <w:r>
              <w:t>Activity</w:t>
            </w:r>
          </w:p>
        </w:tc>
        <w:tc>
          <w:tcPr>
            <w:tcW w:w="5729"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1646"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E66558" w14:paraId="2A7D551D" w14:textId="77777777" w:rsidTr="00DD19F8">
        <w:tc>
          <w:tcPr>
            <w:tcW w:w="2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FB45AF" w14:textId="77777777" w:rsidR="00E66558" w:rsidRDefault="006956BF" w:rsidP="006956BF">
            <w:pPr>
              <w:pStyle w:val="TableRow"/>
              <w:rPr>
                <w:rFonts w:cs="Arial"/>
                <w:sz w:val="22"/>
                <w:szCs w:val="22"/>
              </w:rPr>
            </w:pPr>
            <w:r w:rsidRPr="006956BF">
              <w:rPr>
                <w:rFonts w:cs="Arial"/>
                <w:sz w:val="22"/>
                <w:szCs w:val="22"/>
              </w:rPr>
              <w:t xml:space="preserve">Teaching monitoring and support: Time + TLRs for 3xTeaching Team Leaders </w:t>
            </w:r>
          </w:p>
          <w:p w14:paraId="4AE1EBD6" w14:textId="77777777" w:rsidR="00BA1432" w:rsidRDefault="00BA1432" w:rsidP="006956BF">
            <w:pPr>
              <w:pStyle w:val="TableRow"/>
              <w:rPr>
                <w:rFonts w:cs="Arial"/>
                <w:sz w:val="22"/>
                <w:szCs w:val="22"/>
              </w:rPr>
            </w:pPr>
            <w:r>
              <w:rPr>
                <w:rFonts w:cs="Arial"/>
                <w:sz w:val="22"/>
                <w:szCs w:val="22"/>
              </w:rPr>
              <w:t>0.3 FTE + 3xTLRs</w:t>
            </w:r>
          </w:p>
          <w:p w14:paraId="2A7D551A" w14:textId="6EBD31B1" w:rsidR="00BA1432" w:rsidRPr="006956BF" w:rsidRDefault="00BA1432" w:rsidP="00BA1432">
            <w:pPr>
              <w:pStyle w:val="TableRow"/>
              <w:ind w:left="0"/>
              <w:rPr>
                <w:rFonts w:cs="Arial"/>
                <w:sz w:val="22"/>
                <w:szCs w:val="22"/>
              </w:rPr>
            </w:pPr>
          </w:p>
        </w:tc>
        <w:tc>
          <w:tcPr>
            <w:tcW w:w="57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29516A" w14:textId="77777777" w:rsidR="00E66558" w:rsidRDefault="00DF3365">
            <w:pPr>
              <w:pStyle w:val="TableRowCentered"/>
              <w:jc w:val="left"/>
              <w:rPr>
                <w:rFonts w:cs="Arial"/>
                <w:sz w:val="22"/>
                <w:szCs w:val="22"/>
              </w:rPr>
            </w:pPr>
            <w:r>
              <w:rPr>
                <w:rFonts w:cs="Arial"/>
                <w:sz w:val="22"/>
                <w:szCs w:val="22"/>
              </w:rPr>
              <w:t>Ensuring great teaching is fundamental to ensuring all children make the best possible progress.</w:t>
            </w:r>
          </w:p>
          <w:p w14:paraId="54DACC93" w14:textId="7FD84543" w:rsidR="00AB0B1A" w:rsidRDefault="00A16939">
            <w:pPr>
              <w:pStyle w:val="TableRowCentered"/>
              <w:jc w:val="left"/>
              <w:rPr>
                <w:rFonts w:cs="Arial"/>
                <w:sz w:val="22"/>
                <w:szCs w:val="22"/>
              </w:rPr>
            </w:pPr>
            <w:r>
              <w:rPr>
                <w:rFonts w:cs="Arial"/>
                <w:sz w:val="22"/>
                <w:szCs w:val="22"/>
              </w:rPr>
              <w:t>Our approach to teaching draws o</w:t>
            </w:r>
            <w:r w:rsidR="00AB0B1A">
              <w:rPr>
                <w:rFonts w:cs="Arial"/>
                <w:sz w:val="22"/>
                <w:szCs w:val="22"/>
              </w:rPr>
              <w:t>n evidence-based approaches as outlined in the EEF document ‘Great Teaching Toolkit’ Evidence Review 2020</w:t>
            </w:r>
          </w:p>
          <w:p w14:paraId="36B11CB5" w14:textId="0B43F774" w:rsidR="00AB0B1A" w:rsidRDefault="00AB0B1A">
            <w:pPr>
              <w:pStyle w:val="TableRowCentered"/>
              <w:jc w:val="left"/>
              <w:rPr>
                <w:rFonts w:cs="Arial"/>
                <w:sz w:val="22"/>
                <w:szCs w:val="22"/>
              </w:rPr>
            </w:pPr>
            <w:r>
              <w:rPr>
                <w:rFonts w:cs="Arial"/>
                <w:noProof/>
                <w:sz w:val="22"/>
                <w:szCs w:val="22"/>
              </w:rPr>
              <mc:AlternateContent>
                <mc:Choice Requires="wps">
                  <w:drawing>
                    <wp:anchor distT="0" distB="0" distL="114300" distR="114300" simplePos="0" relativeHeight="251659264" behindDoc="0" locked="0" layoutInCell="1" allowOverlap="1" wp14:anchorId="48F54FCF" wp14:editId="1A90351A">
                      <wp:simplePos x="0" y="0"/>
                      <wp:positionH relativeFrom="column">
                        <wp:posOffset>-4921</wp:posOffset>
                      </wp:positionH>
                      <wp:positionV relativeFrom="paragraph">
                        <wp:posOffset>53182</wp:posOffset>
                      </wp:positionV>
                      <wp:extent cx="3493294" cy="664368"/>
                      <wp:effectExtent l="0" t="0" r="12065" b="21590"/>
                      <wp:wrapNone/>
                      <wp:docPr id="2" name="Text Box 2"/>
                      <wp:cNvGraphicFramePr/>
                      <a:graphic xmlns:a="http://schemas.openxmlformats.org/drawingml/2006/main">
                        <a:graphicData uri="http://schemas.microsoft.com/office/word/2010/wordprocessingShape">
                          <wps:wsp>
                            <wps:cNvSpPr txBox="1"/>
                            <wps:spPr>
                              <a:xfrm>
                                <a:off x="0" y="0"/>
                                <a:ext cx="3493294" cy="664368"/>
                              </a:xfrm>
                              <a:prstGeom prst="rect">
                                <a:avLst/>
                              </a:prstGeom>
                              <a:solidFill>
                                <a:schemeClr val="lt1"/>
                              </a:solidFill>
                              <a:ln w="6350">
                                <a:solidFill>
                                  <a:prstClr val="black"/>
                                </a:solidFill>
                              </a:ln>
                            </wps:spPr>
                            <wps:txbx>
                              <w:txbxContent>
                                <w:p w14:paraId="1ECA4267" w14:textId="77777777" w:rsidR="00AB0B1A" w:rsidRPr="00955612" w:rsidRDefault="008C040F" w:rsidP="00AB0B1A">
                                  <w:pPr>
                                    <w:rPr>
                                      <w:sz w:val="16"/>
                                      <w:szCs w:val="16"/>
                                    </w:rPr>
                                  </w:pPr>
                                  <w:hyperlink r:id="rId10" w:history="1">
                                    <w:r w:rsidR="00AB0B1A" w:rsidRPr="00955612">
                                      <w:rPr>
                                        <w:rStyle w:val="Hyperlink"/>
                                        <w:sz w:val="16"/>
                                        <w:szCs w:val="16"/>
                                      </w:rPr>
                                      <w:t>https://assets.website-files.com/5ee28729f7b4a5fa99bef2b3/5ee9f507021911ae35ac6c4d_EBE_GTT_EVIDENCE%20REVIEW_DIGITAL.pdf?utm_referrer=https%3A%2F%2Fwww.greatteaching.com%2F</w:t>
                                    </w:r>
                                  </w:hyperlink>
                                </w:p>
                                <w:p w14:paraId="08CF4D78" w14:textId="77777777" w:rsidR="00AB0B1A" w:rsidRDefault="00AB0B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type id="_x0000_t202" coordsize="21600,21600" o:spt="202" path="m,l,21600r21600,l21600,xe" w14:anchorId="48F54FCF">
                      <v:stroke joinstyle="miter"/>
                      <v:path gradientshapeok="t" o:connecttype="rect"/>
                    </v:shapetype>
                    <v:shape id="Text Box 2" style="position:absolute;left:0;text-align:left;margin-left:-.4pt;margin-top:4.2pt;width:275.05pt;height:52.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26"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">
                      <v:textbox>
                        <w:txbxContent>
                          <w:p w:rsidRPr="00955612" w:rsidR="00AB0B1A" w:rsidP="00AB0B1A" w:rsidRDefault="00AB0B1A" w14:paraId="1ECA4267" w14:textId="77777777">
                            <w:pPr>
                              <w:rPr>
                                <w:sz w:val="16"/>
                                <w:szCs w:val="16"/>
                              </w:rPr>
                            </w:pPr>
                            <w:hyperlink w:history="1" r:id="rId11">
                              <w:r w:rsidRPr="00955612">
                                <w:rPr>
                                  <w:rStyle w:val="Hyperlink"/>
                                  <w:sz w:val="16"/>
                                  <w:szCs w:val="16"/>
                                </w:rPr>
                                <w:t>https://assets.website-files.com/5ee28729f7b4a5fa99bef2b3/</w:t>
                              </w:r>
                              <w:r w:rsidRPr="00955612">
                                <w:rPr>
                                  <w:rStyle w:val="Hyperlink"/>
                                  <w:sz w:val="16"/>
                                  <w:szCs w:val="16"/>
                                </w:rPr>
                                <w:t>5ee9f507021911ae35ac6c4d_EBE_GTT_EVIDENCE%20REVIEW_DIGITAL.pdf?utm_referrer=https%3A%2F%2Fwww.greatteaching.com%2F</w:t>
                              </w:r>
                            </w:hyperlink>
                          </w:p>
                          <w:p w:rsidR="00AB0B1A" w:rsidRDefault="00AB0B1A" w14:paraId="08CF4D78" w14:textId="77777777"/>
                        </w:txbxContent>
                      </v:textbox>
                    </v:shape>
                  </w:pict>
                </mc:Fallback>
              </mc:AlternateContent>
            </w:r>
          </w:p>
          <w:p w14:paraId="02E5CE27" w14:textId="1EDE0EEB" w:rsidR="00AB0B1A" w:rsidRDefault="00AB0B1A">
            <w:pPr>
              <w:pStyle w:val="TableRowCentered"/>
              <w:jc w:val="left"/>
              <w:rPr>
                <w:rFonts w:cs="Arial"/>
                <w:sz w:val="22"/>
                <w:szCs w:val="22"/>
              </w:rPr>
            </w:pPr>
          </w:p>
          <w:p w14:paraId="7DAB613D" w14:textId="31E16F49" w:rsidR="00AB0B1A" w:rsidRDefault="00AB0B1A">
            <w:pPr>
              <w:pStyle w:val="TableRowCentered"/>
              <w:jc w:val="left"/>
              <w:rPr>
                <w:rFonts w:cs="Arial"/>
                <w:sz w:val="22"/>
                <w:szCs w:val="22"/>
              </w:rPr>
            </w:pPr>
          </w:p>
          <w:p w14:paraId="2CA59C42" w14:textId="1A495B65" w:rsidR="00AB0B1A" w:rsidRDefault="00AB0B1A">
            <w:pPr>
              <w:pStyle w:val="TableRowCentered"/>
              <w:jc w:val="left"/>
              <w:rPr>
                <w:rFonts w:cs="Arial"/>
                <w:sz w:val="22"/>
                <w:szCs w:val="22"/>
              </w:rPr>
            </w:pPr>
          </w:p>
          <w:p w14:paraId="2A7D551B" w14:textId="30D41FF5" w:rsidR="00AB0B1A" w:rsidRPr="006956BF" w:rsidRDefault="00AB0B1A">
            <w:pPr>
              <w:pStyle w:val="TableRowCentered"/>
              <w:jc w:val="left"/>
              <w:rPr>
                <w:rFonts w:cs="Arial"/>
                <w:sz w:val="22"/>
                <w:szCs w:val="22"/>
              </w:rPr>
            </w:pPr>
          </w:p>
        </w:tc>
        <w:tc>
          <w:tcPr>
            <w:tcW w:w="1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61F875EA" w:rsidR="00E66558" w:rsidRPr="006956BF" w:rsidRDefault="00DD19F8">
            <w:pPr>
              <w:pStyle w:val="TableRowCentered"/>
              <w:jc w:val="left"/>
              <w:rPr>
                <w:rFonts w:cs="Arial"/>
                <w:sz w:val="22"/>
                <w:szCs w:val="22"/>
              </w:rPr>
            </w:pPr>
            <w:r>
              <w:rPr>
                <w:rFonts w:cs="Arial"/>
                <w:sz w:val="22"/>
                <w:szCs w:val="22"/>
              </w:rPr>
              <w:t>3,4,7</w:t>
            </w:r>
          </w:p>
        </w:tc>
      </w:tr>
      <w:tr w:rsidR="00E66558" w14:paraId="2A7D5521" w14:textId="77777777" w:rsidTr="00DD19F8">
        <w:tc>
          <w:tcPr>
            <w:tcW w:w="2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E76EAF" w14:textId="076D1AAD" w:rsidR="00E66558" w:rsidRDefault="006956BF">
            <w:pPr>
              <w:pStyle w:val="TableRow"/>
              <w:rPr>
                <w:rFonts w:cs="Arial"/>
                <w:sz w:val="22"/>
                <w:szCs w:val="22"/>
              </w:rPr>
            </w:pPr>
            <w:r>
              <w:rPr>
                <w:rFonts w:cs="Arial"/>
                <w:sz w:val="22"/>
                <w:szCs w:val="22"/>
              </w:rPr>
              <w:t>Release time for teachers for coaching/mentoring; peer observations</w:t>
            </w:r>
            <w:r w:rsidR="008E55FD">
              <w:rPr>
                <w:rFonts w:cs="Arial"/>
                <w:sz w:val="22"/>
                <w:szCs w:val="22"/>
              </w:rPr>
              <w:t xml:space="preserve"> focus on improving feedback</w:t>
            </w:r>
          </w:p>
          <w:p w14:paraId="2A7D551E" w14:textId="36C60A5A" w:rsidR="00BA1432" w:rsidRPr="006956BF" w:rsidRDefault="00BA1432" w:rsidP="00BA1432">
            <w:pPr>
              <w:pStyle w:val="TableRow"/>
              <w:ind w:left="0"/>
              <w:rPr>
                <w:rFonts w:cs="Arial"/>
                <w:sz w:val="22"/>
                <w:szCs w:val="22"/>
              </w:rPr>
            </w:pPr>
            <w:r>
              <w:rPr>
                <w:rFonts w:cs="Arial"/>
                <w:sz w:val="22"/>
                <w:szCs w:val="22"/>
              </w:rPr>
              <w:t>0.1 FTE</w:t>
            </w:r>
          </w:p>
        </w:tc>
        <w:tc>
          <w:tcPr>
            <w:tcW w:w="57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62280D" w14:textId="4E6A96F3" w:rsidR="008E55FD" w:rsidRPr="008E55FD" w:rsidRDefault="008E55FD" w:rsidP="008E55FD">
            <w:pPr>
              <w:pStyle w:val="TableRowCentered"/>
              <w:jc w:val="left"/>
              <w:rPr>
                <w:rFonts w:cs="Arial"/>
                <w:sz w:val="22"/>
                <w:szCs w:val="22"/>
              </w:rPr>
            </w:pPr>
            <w:r w:rsidRPr="008E55FD">
              <w:rPr>
                <w:rFonts w:cs="Arial"/>
                <w:sz w:val="22"/>
                <w:szCs w:val="22"/>
              </w:rPr>
              <w:t>Providing feedback is a well-evidenced and has a high impact on learning outcomes. Effective feedback tends to focus on the task, subject and self-regulation strategies: it provides specific information on how to improve.</w:t>
            </w:r>
            <w:r w:rsidR="00A16939">
              <w:rPr>
                <w:rFonts w:cs="Arial"/>
                <w:sz w:val="22"/>
                <w:szCs w:val="22"/>
              </w:rPr>
              <w:t xml:space="preserve"> (use will be made of Walkthrus materails)</w:t>
            </w:r>
          </w:p>
          <w:p w14:paraId="47A760DA" w14:textId="77777777" w:rsidR="008E55FD" w:rsidRPr="008E55FD" w:rsidRDefault="008E55FD" w:rsidP="008E55FD">
            <w:pPr>
              <w:pStyle w:val="TableRowCentered"/>
              <w:rPr>
                <w:rFonts w:cs="Arial"/>
                <w:sz w:val="22"/>
                <w:szCs w:val="22"/>
              </w:rPr>
            </w:pPr>
          </w:p>
          <w:p w14:paraId="70ECA2F9" w14:textId="46E827DC" w:rsidR="00E66558" w:rsidRDefault="008E55FD" w:rsidP="008E55FD">
            <w:pPr>
              <w:pStyle w:val="TableRowCentered"/>
              <w:jc w:val="left"/>
              <w:rPr>
                <w:rFonts w:cs="Arial"/>
                <w:sz w:val="22"/>
                <w:szCs w:val="22"/>
              </w:rPr>
            </w:pPr>
            <w:r w:rsidRPr="008E55FD">
              <w:rPr>
                <w:rFonts w:cs="Arial"/>
                <w:sz w:val="22"/>
                <w:szCs w:val="22"/>
              </w:rPr>
              <w:t>Feedback can be effective during, immediately after and some time after learning. Feedback policies should not over specify the frequency of feedback</w:t>
            </w:r>
          </w:p>
          <w:p w14:paraId="534DF784" w14:textId="622E72DE" w:rsidR="008E55FD" w:rsidRDefault="008E55FD" w:rsidP="008E55FD">
            <w:pPr>
              <w:pStyle w:val="TableRowCentered"/>
              <w:jc w:val="left"/>
              <w:rPr>
                <w:rFonts w:cs="Arial"/>
                <w:sz w:val="22"/>
                <w:szCs w:val="22"/>
              </w:rPr>
            </w:pPr>
          </w:p>
          <w:p w14:paraId="2AF98AE3" w14:textId="27FD77FA" w:rsidR="008E55FD" w:rsidRDefault="008C040F" w:rsidP="008E55FD">
            <w:pPr>
              <w:pStyle w:val="TableRowCentered"/>
              <w:jc w:val="left"/>
              <w:rPr>
                <w:rFonts w:cs="Arial"/>
                <w:sz w:val="22"/>
                <w:szCs w:val="22"/>
              </w:rPr>
            </w:pPr>
            <w:hyperlink r:id="rId12" w:history="1">
              <w:r w:rsidR="008E55FD" w:rsidRPr="00D6129C">
                <w:rPr>
                  <w:rStyle w:val="Hyperlink"/>
                  <w:rFonts w:cs="Arial"/>
                  <w:sz w:val="22"/>
                  <w:szCs w:val="22"/>
                </w:rPr>
                <w:t>https://educationendowmentfoundation.org.uk/education-evidence/teaching-learning-toolkit/feedback</w:t>
              </w:r>
            </w:hyperlink>
          </w:p>
          <w:p w14:paraId="710C7FD8" w14:textId="77777777" w:rsidR="008E55FD" w:rsidRDefault="008E55FD" w:rsidP="008E55FD">
            <w:pPr>
              <w:pStyle w:val="TableRowCentered"/>
              <w:jc w:val="left"/>
              <w:rPr>
                <w:rFonts w:cs="Arial"/>
                <w:sz w:val="22"/>
                <w:szCs w:val="22"/>
              </w:rPr>
            </w:pPr>
          </w:p>
          <w:p w14:paraId="2A7D551F" w14:textId="7544F15E" w:rsidR="008E55FD" w:rsidRPr="006956BF" w:rsidRDefault="008E55FD" w:rsidP="008E55FD">
            <w:pPr>
              <w:pStyle w:val="TableRowCentered"/>
              <w:jc w:val="left"/>
              <w:rPr>
                <w:rFonts w:cs="Arial"/>
                <w:sz w:val="22"/>
                <w:szCs w:val="22"/>
              </w:rPr>
            </w:pPr>
          </w:p>
        </w:tc>
        <w:tc>
          <w:tcPr>
            <w:tcW w:w="1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595D15CE" w:rsidR="00E66558" w:rsidRPr="006956BF" w:rsidRDefault="00DD19F8">
            <w:pPr>
              <w:pStyle w:val="TableRowCentered"/>
              <w:jc w:val="left"/>
              <w:rPr>
                <w:rFonts w:cs="Arial"/>
                <w:sz w:val="22"/>
                <w:szCs w:val="22"/>
              </w:rPr>
            </w:pPr>
            <w:r>
              <w:rPr>
                <w:rFonts w:cs="Arial"/>
                <w:sz w:val="22"/>
                <w:szCs w:val="22"/>
              </w:rPr>
              <w:t>3,4,7</w:t>
            </w:r>
          </w:p>
        </w:tc>
      </w:tr>
      <w:tr w:rsidR="006956BF" w14:paraId="5FE4AD65" w14:textId="77777777" w:rsidTr="00DD19F8">
        <w:tc>
          <w:tcPr>
            <w:tcW w:w="2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0773BC" w14:textId="46B12992" w:rsidR="006956BF" w:rsidRPr="00BA1432" w:rsidRDefault="00BA1432">
            <w:pPr>
              <w:pStyle w:val="TableRow"/>
              <w:rPr>
                <w:rFonts w:cs="Arial"/>
                <w:sz w:val="22"/>
                <w:szCs w:val="22"/>
              </w:rPr>
            </w:pPr>
            <w:r>
              <w:rPr>
                <w:rFonts w:cs="Arial"/>
                <w:sz w:val="22"/>
                <w:szCs w:val="22"/>
              </w:rPr>
              <w:t xml:space="preserve">Phonics training for staff new to KS1. Time for phonics/Early </w:t>
            </w:r>
            <w:r>
              <w:rPr>
                <w:rFonts w:cs="Arial"/>
                <w:sz w:val="22"/>
                <w:szCs w:val="22"/>
              </w:rPr>
              <w:lastRenderedPageBreak/>
              <w:t>Reading Lead to monitor/support phonics</w:t>
            </w:r>
          </w:p>
        </w:tc>
        <w:tc>
          <w:tcPr>
            <w:tcW w:w="57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DF8491" w14:textId="62DD9DFE" w:rsidR="00EF7FDF" w:rsidRDefault="00EF7FDF" w:rsidP="00EF7FDF">
            <w:pPr>
              <w:pStyle w:val="TableRowCentered"/>
              <w:ind w:left="0"/>
              <w:jc w:val="left"/>
              <w:rPr>
                <w:rFonts w:cs="Arial"/>
                <w:sz w:val="22"/>
                <w:szCs w:val="22"/>
              </w:rPr>
            </w:pPr>
            <w:r w:rsidRPr="00EF7FDF">
              <w:rPr>
                <w:rFonts w:cs="Arial"/>
                <w:sz w:val="22"/>
                <w:szCs w:val="22"/>
              </w:rPr>
              <w:lastRenderedPageBreak/>
              <w:t xml:space="preserve">Phonics has a positive impact overall (+5 months) with very extensive evidence and is an important component </w:t>
            </w:r>
            <w:r w:rsidRPr="00EF7FDF">
              <w:rPr>
                <w:rFonts w:cs="Arial"/>
                <w:sz w:val="22"/>
                <w:szCs w:val="22"/>
              </w:rPr>
              <w:lastRenderedPageBreak/>
              <w:t>in the development of early reading skills, particularly for children from disadvantaged background</w:t>
            </w:r>
          </w:p>
          <w:p w14:paraId="2F984197" w14:textId="77777777" w:rsidR="00EF7FDF" w:rsidRDefault="00EF7FDF">
            <w:pPr>
              <w:pStyle w:val="TableRowCentered"/>
              <w:jc w:val="left"/>
              <w:rPr>
                <w:rFonts w:cs="Arial"/>
                <w:sz w:val="22"/>
                <w:szCs w:val="22"/>
              </w:rPr>
            </w:pPr>
          </w:p>
          <w:p w14:paraId="5F5F578A" w14:textId="6C205636" w:rsidR="006956BF" w:rsidRDefault="008C040F">
            <w:pPr>
              <w:pStyle w:val="TableRowCentered"/>
              <w:jc w:val="left"/>
              <w:rPr>
                <w:rFonts w:cs="Arial"/>
                <w:sz w:val="22"/>
                <w:szCs w:val="22"/>
              </w:rPr>
            </w:pPr>
            <w:hyperlink r:id="rId13" w:history="1">
              <w:r w:rsidR="00EF7FDF" w:rsidRPr="00D6129C">
                <w:rPr>
                  <w:rStyle w:val="Hyperlink"/>
                  <w:rFonts w:cs="Arial"/>
                  <w:sz w:val="22"/>
                  <w:szCs w:val="22"/>
                </w:rPr>
                <w:t>https://educationendowmentfoundation.org.uk/education-evidence/teaching-learning-toolkit/phonics</w:t>
              </w:r>
            </w:hyperlink>
          </w:p>
          <w:p w14:paraId="41EFC591" w14:textId="1164B423" w:rsidR="00EF7FDF" w:rsidRPr="006956BF" w:rsidRDefault="00EF7FDF">
            <w:pPr>
              <w:pStyle w:val="TableRowCentered"/>
              <w:jc w:val="left"/>
              <w:rPr>
                <w:rFonts w:cs="Arial"/>
                <w:sz w:val="22"/>
                <w:szCs w:val="22"/>
              </w:rPr>
            </w:pPr>
          </w:p>
        </w:tc>
        <w:tc>
          <w:tcPr>
            <w:tcW w:w="1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7B3673" w14:textId="332D9310" w:rsidR="006956BF" w:rsidRPr="006956BF" w:rsidRDefault="00DD19F8">
            <w:pPr>
              <w:pStyle w:val="TableRowCentered"/>
              <w:jc w:val="left"/>
              <w:rPr>
                <w:rFonts w:cs="Arial"/>
                <w:sz w:val="22"/>
                <w:szCs w:val="22"/>
              </w:rPr>
            </w:pPr>
            <w:r>
              <w:rPr>
                <w:rFonts w:cs="Arial"/>
                <w:sz w:val="22"/>
                <w:szCs w:val="22"/>
              </w:rPr>
              <w:lastRenderedPageBreak/>
              <w:t>1,3,4,7</w:t>
            </w:r>
          </w:p>
        </w:tc>
      </w:tr>
      <w:tr w:rsidR="006956BF" w14:paraId="3B060E8A" w14:textId="77777777" w:rsidTr="00DD19F8">
        <w:tc>
          <w:tcPr>
            <w:tcW w:w="2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B3459D" w14:textId="11D302B4" w:rsidR="006956BF" w:rsidRDefault="00BA1432">
            <w:pPr>
              <w:pStyle w:val="TableRow"/>
              <w:rPr>
                <w:rFonts w:cs="Arial"/>
                <w:sz w:val="22"/>
                <w:szCs w:val="22"/>
              </w:rPr>
            </w:pPr>
            <w:r>
              <w:rPr>
                <w:rFonts w:cs="Arial"/>
                <w:sz w:val="22"/>
                <w:szCs w:val="22"/>
              </w:rPr>
              <w:t>LSA support across all classes: to allow teachers to focus on targeted groups &amp; improving feedback</w:t>
            </w:r>
          </w:p>
          <w:p w14:paraId="45FEF83C" w14:textId="6F6A8807" w:rsidR="00BA1432" w:rsidRDefault="00C5020B">
            <w:pPr>
              <w:pStyle w:val="TableRow"/>
              <w:rPr>
                <w:rFonts w:cs="Arial"/>
                <w:sz w:val="22"/>
                <w:szCs w:val="22"/>
              </w:rPr>
            </w:pPr>
            <w:r>
              <w:rPr>
                <w:rFonts w:cs="Arial"/>
                <w:sz w:val="22"/>
                <w:szCs w:val="22"/>
              </w:rPr>
              <w:t>2.5</w:t>
            </w:r>
            <w:r w:rsidR="00BA1432">
              <w:rPr>
                <w:rFonts w:cs="Arial"/>
                <w:sz w:val="22"/>
                <w:szCs w:val="22"/>
              </w:rPr>
              <w:t xml:space="preserve"> day</w:t>
            </w:r>
            <w:r>
              <w:rPr>
                <w:rFonts w:cs="Arial"/>
                <w:sz w:val="22"/>
                <w:szCs w:val="22"/>
              </w:rPr>
              <w:t>s</w:t>
            </w:r>
            <w:r w:rsidR="00BA1432">
              <w:rPr>
                <w:rFonts w:cs="Arial"/>
                <w:sz w:val="22"/>
                <w:szCs w:val="22"/>
              </w:rPr>
              <w:t xml:space="preserve"> per year group</w:t>
            </w:r>
          </w:p>
          <w:p w14:paraId="25599491" w14:textId="16693F61" w:rsidR="00BA1432" w:rsidRPr="00BA1432" w:rsidRDefault="00BA1432">
            <w:pPr>
              <w:pStyle w:val="TableRow"/>
              <w:rPr>
                <w:rFonts w:cs="Arial"/>
                <w:sz w:val="22"/>
                <w:szCs w:val="22"/>
              </w:rPr>
            </w:pPr>
            <w:r>
              <w:rPr>
                <w:rFonts w:cs="Arial"/>
                <w:sz w:val="22"/>
                <w:szCs w:val="22"/>
              </w:rPr>
              <w:t xml:space="preserve">(Total = </w:t>
            </w:r>
            <w:r w:rsidR="00C5020B">
              <w:rPr>
                <w:rFonts w:cs="Arial"/>
                <w:sz w:val="22"/>
                <w:szCs w:val="22"/>
              </w:rPr>
              <w:t>3.5</w:t>
            </w:r>
            <w:r>
              <w:rPr>
                <w:rFonts w:cs="Arial"/>
                <w:sz w:val="22"/>
                <w:szCs w:val="22"/>
              </w:rPr>
              <w:t xml:space="preserve"> LSA)</w:t>
            </w:r>
          </w:p>
        </w:tc>
        <w:tc>
          <w:tcPr>
            <w:tcW w:w="57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544A8F" w14:textId="64821A6E" w:rsidR="00175882" w:rsidRPr="008E55FD" w:rsidRDefault="00175882" w:rsidP="00175882">
            <w:pPr>
              <w:pStyle w:val="TableRowCentered"/>
              <w:jc w:val="left"/>
              <w:rPr>
                <w:rFonts w:cs="Arial"/>
                <w:sz w:val="22"/>
                <w:szCs w:val="22"/>
              </w:rPr>
            </w:pPr>
            <w:r w:rsidRPr="008E55FD">
              <w:rPr>
                <w:rFonts w:cs="Arial"/>
                <w:sz w:val="22"/>
                <w:szCs w:val="22"/>
              </w:rPr>
              <w:t>Providing feedback is a well-evidenced and has a high impact on learning outcomes. Effective feedback tends to focus on the task, subject and self-regulation strategies: it provides specific information on how to improve.</w:t>
            </w:r>
            <w:r>
              <w:rPr>
                <w:rFonts w:cs="Arial"/>
                <w:sz w:val="22"/>
                <w:szCs w:val="22"/>
              </w:rPr>
              <w:t xml:space="preserve"> Impact = 6 months (extensive evidence)</w:t>
            </w:r>
          </w:p>
          <w:p w14:paraId="63BD2AE9" w14:textId="77777777" w:rsidR="00175882" w:rsidRDefault="00175882" w:rsidP="00175882">
            <w:pPr>
              <w:pStyle w:val="TableRowCentered"/>
              <w:jc w:val="left"/>
              <w:rPr>
                <w:rFonts w:cs="Arial"/>
                <w:sz w:val="22"/>
                <w:szCs w:val="22"/>
              </w:rPr>
            </w:pPr>
            <w:r w:rsidRPr="008E55FD">
              <w:rPr>
                <w:rFonts w:cs="Arial"/>
                <w:sz w:val="22"/>
                <w:szCs w:val="22"/>
              </w:rPr>
              <w:t>Feedback can be effective during, immediately after and some time after learning. Feedback policies should not over specify the frequency of feedback</w:t>
            </w:r>
          </w:p>
          <w:p w14:paraId="6B241A1D" w14:textId="77777777" w:rsidR="00175882" w:rsidRDefault="00175882" w:rsidP="00175882">
            <w:pPr>
              <w:pStyle w:val="TableRowCentered"/>
              <w:jc w:val="left"/>
              <w:rPr>
                <w:rFonts w:cs="Arial"/>
                <w:sz w:val="22"/>
                <w:szCs w:val="22"/>
              </w:rPr>
            </w:pPr>
          </w:p>
          <w:p w14:paraId="630AB2D5" w14:textId="77777777" w:rsidR="00175882" w:rsidRDefault="008C040F" w:rsidP="00175882">
            <w:pPr>
              <w:pStyle w:val="TableRowCentered"/>
              <w:jc w:val="left"/>
              <w:rPr>
                <w:rFonts w:cs="Arial"/>
                <w:sz w:val="22"/>
                <w:szCs w:val="22"/>
              </w:rPr>
            </w:pPr>
            <w:hyperlink r:id="rId14" w:history="1">
              <w:r w:rsidR="00175882" w:rsidRPr="00D6129C">
                <w:rPr>
                  <w:rStyle w:val="Hyperlink"/>
                  <w:rFonts w:cs="Arial"/>
                  <w:sz w:val="22"/>
                  <w:szCs w:val="22"/>
                </w:rPr>
                <w:t>https://educationendowmentfoundation.org.uk/education-evidence/teaching-learning-toolkit/feedback</w:t>
              </w:r>
            </w:hyperlink>
          </w:p>
          <w:p w14:paraId="2A12635A" w14:textId="77777777" w:rsidR="00175882" w:rsidRDefault="00175882">
            <w:pPr>
              <w:pStyle w:val="TableRowCentered"/>
              <w:jc w:val="left"/>
              <w:rPr>
                <w:rFonts w:cs="Arial"/>
                <w:sz w:val="22"/>
                <w:szCs w:val="22"/>
              </w:rPr>
            </w:pPr>
          </w:p>
          <w:p w14:paraId="78A546AE" w14:textId="66D939BD" w:rsidR="00175882" w:rsidRPr="006956BF" w:rsidRDefault="00175882" w:rsidP="00175882">
            <w:pPr>
              <w:pStyle w:val="TableRowCentered"/>
              <w:ind w:left="0"/>
              <w:jc w:val="left"/>
              <w:rPr>
                <w:rFonts w:cs="Arial"/>
                <w:sz w:val="22"/>
                <w:szCs w:val="22"/>
              </w:rPr>
            </w:pPr>
          </w:p>
        </w:tc>
        <w:tc>
          <w:tcPr>
            <w:tcW w:w="1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957067" w14:textId="0CC45D26" w:rsidR="006956BF" w:rsidRPr="006956BF" w:rsidRDefault="00DD19F8">
            <w:pPr>
              <w:pStyle w:val="TableRowCentered"/>
              <w:jc w:val="left"/>
              <w:rPr>
                <w:rFonts w:cs="Arial"/>
                <w:sz w:val="22"/>
                <w:szCs w:val="22"/>
              </w:rPr>
            </w:pPr>
            <w:r>
              <w:rPr>
                <w:rFonts w:cs="Arial"/>
                <w:sz w:val="22"/>
                <w:szCs w:val="22"/>
              </w:rPr>
              <w:t>3,4,7</w:t>
            </w:r>
          </w:p>
        </w:tc>
      </w:tr>
    </w:tbl>
    <w:p w14:paraId="2A7D5522" w14:textId="77777777" w:rsidR="00E66558" w:rsidRDefault="00E66558" w:rsidP="00ED5108"/>
    <w:p w14:paraId="2A7D5523" w14:textId="311DF3CE" w:rsidR="00E66558" w:rsidRDefault="005D31F5" w:rsidP="00AA355B">
      <w:pPr>
        <w:pStyle w:val="Heading3"/>
      </w:pPr>
      <w:r>
        <w:t xml:space="preserve">Targeted academic support </w:t>
      </w:r>
      <w:r w:rsidR="009D71E8">
        <w:t xml:space="preserve"> </w:t>
      </w:r>
    </w:p>
    <w:p w14:paraId="0A4F7B19" w14:textId="77777777" w:rsidR="00380618" w:rsidRPr="00DF3351" w:rsidRDefault="00380618" w:rsidP="00380618">
      <w:pPr>
        <w:spacing w:after="0" w:line="240" w:lineRule="auto"/>
        <w:rPr>
          <w:rFonts w:cs="Arial"/>
          <w:sz w:val="22"/>
          <w:szCs w:val="22"/>
        </w:rPr>
      </w:pPr>
      <w:r w:rsidRPr="00DF3351">
        <w:rPr>
          <w:rFonts w:cs="Arial"/>
          <w:sz w:val="22"/>
          <w:szCs w:val="22"/>
        </w:rPr>
        <w:t xml:space="preserve">For some children, high quality teaching in itself may not be enough and there is a need for additional, time-limited provision outside of normal classroom activities. There is extensive evidence supporting the impact of high quality one to one and small group tuition as a catch-up strategy. Programmes are likely to have the greatest impact where they meet a specific need, include regular sessions maintained over a sustained period and are carefully timetabled to enable consistent delivery. Effective interventions follow assessment, which can then be used to ensure that support is well-targeted and to monitor pupil progress. </w:t>
      </w:r>
    </w:p>
    <w:p w14:paraId="651EEB25" w14:textId="77777777" w:rsidR="00380618" w:rsidRPr="00380618" w:rsidRDefault="00380618" w:rsidP="00380618"/>
    <w:p w14:paraId="2A7D5524" w14:textId="75408F83" w:rsidR="00E66558" w:rsidRDefault="005D31F5">
      <w:r>
        <w:t>Budgeted cost: £</w:t>
      </w:r>
      <w:r w:rsidR="00E23BB7">
        <w:t>72,500</w:t>
      </w:r>
    </w:p>
    <w:tbl>
      <w:tblPr>
        <w:tblW w:w="5000" w:type="pct"/>
        <w:tblCellMar>
          <w:left w:w="10" w:type="dxa"/>
          <w:right w:w="10" w:type="dxa"/>
        </w:tblCellMar>
        <w:tblLook w:val="04A0" w:firstRow="1" w:lastRow="0" w:firstColumn="1" w:lastColumn="0" w:noHBand="0" w:noVBand="1"/>
      </w:tblPr>
      <w:tblGrid>
        <w:gridCol w:w="2056"/>
        <w:gridCol w:w="5871"/>
        <w:gridCol w:w="1559"/>
      </w:tblGrid>
      <w:tr w:rsidR="00E66558" w14:paraId="2A7D5528" w14:textId="77777777" w:rsidTr="005D31F5">
        <w:tc>
          <w:tcPr>
            <w:tcW w:w="3114"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2A7D5525" w14:textId="77777777" w:rsidR="00E66558" w:rsidRDefault="009D71E8">
            <w:pPr>
              <w:pStyle w:val="TableHeader"/>
              <w:jc w:val="left"/>
            </w:pPr>
            <w:r>
              <w:t>Activity</w:t>
            </w:r>
          </w:p>
        </w:tc>
        <w:tc>
          <w:tcPr>
            <w:tcW w:w="4678"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1694"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E66558" w14:paraId="2A7D552C" w14:textId="77777777" w:rsidTr="005D31F5">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68842F" w14:textId="77198F86" w:rsidR="00E66558" w:rsidRDefault="00BA1432">
            <w:pPr>
              <w:pStyle w:val="TableRow"/>
              <w:rPr>
                <w:sz w:val="22"/>
                <w:szCs w:val="22"/>
              </w:rPr>
            </w:pPr>
            <w:r>
              <w:rPr>
                <w:sz w:val="22"/>
                <w:szCs w:val="22"/>
              </w:rPr>
              <w:t>Phonics</w:t>
            </w:r>
            <w:r w:rsidR="005D31F5">
              <w:rPr>
                <w:sz w:val="22"/>
                <w:szCs w:val="22"/>
              </w:rPr>
              <w:t xml:space="preserve"> </w:t>
            </w:r>
            <w:r>
              <w:rPr>
                <w:sz w:val="22"/>
                <w:szCs w:val="22"/>
              </w:rPr>
              <w:t xml:space="preserve">Intervention support </w:t>
            </w:r>
          </w:p>
          <w:p w14:paraId="2AA3EF4F" w14:textId="2AC80AF1" w:rsidR="00DF3365" w:rsidRDefault="00DF3365">
            <w:pPr>
              <w:pStyle w:val="TableRow"/>
              <w:rPr>
                <w:sz w:val="22"/>
                <w:szCs w:val="22"/>
              </w:rPr>
            </w:pPr>
          </w:p>
          <w:p w14:paraId="575887DB" w14:textId="31CF883D" w:rsidR="00DF3365" w:rsidRDefault="00DF3365">
            <w:pPr>
              <w:pStyle w:val="TableRow"/>
              <w:rPr>
                <w:sz w:val="22"/>
                <w:szCs w:val="22"/>
              </w:rPr>
            </w:pPr>
          </w:p>
          <w:p w14:paraId="01AA58F7" w14:textId="6E250656" w:rsidR="00DF3365" w:rsidRDefault="00DF3365">
            <w:pPr>
              <w:pStyle w:val="TableRow"/>
              <w:rPr>
                <w:sz w:val="22"/>
                <w:szCs w:val="22"/>
              </w:rPr>
            </w:pPr>
          </w:p>
          <w:p w14:paraId="1D70F2CD" w14:textId="57387D6B" w:rsidR="00DF3365" w:rsidRDefault="00DF3365">
            <w:pPr>
              <w:pStyle w:val="TableRow"/>
              <w:rPr>
                <w:sz w:val="22"/>
                <w:szCs w:val="22"/>
              </w:rPr>
            </w:pPr>
          </w:p>
          <w:p w14:paraId="2D304CE9" w14:textId="78AC6624" w:rsidR="00DF3365" w:rsidRDefault="00DF3365">
            <w:pPr>
              <w:pStyle w:val="TableRow"/>
              <w:rPr>
                <w:sz w:val="22"/>
                <w:szCs w:val="22"/>
              </w:rPr>
            </w:pPr>
            <w:r>
              <w:rPr>
                <w:sz w:val="22"/>
                <w:szCs w:val="22"/>
              </w:rPr>
              <w:t>Support for reading comprehension</w:t>
            </w:r>
          </w:p>
          <w:p w14:paraId="61E84F7D" w14:textId="0EC3BB7A" w:rsidR="00DF3365" w:rsidRDefault="00DF3365">
            <w:pPr>
              <w:pStyle w:val="TableRow"/>
              <w:rPr>
                <w:sz w:val="22"/>
                <w:szCs w:val="22"/>
              </w:rPr>
            </w:pPr>
          </w:p>
          <w:p w14:paraId="05FBEE3F" w14:textId="4D0FE960" w:rsidR="00DF3365" w:rsidRDefault="00DF3365">
            <w:pPr>
              <w:pStyle w:val="TableRow"/>
              <w:rPr>
                <w:sz w:val="22"/>
                <w:szCs w:val="22"/>
              </w:rPr>
            </w:pPr>
          </w:p>
          <w:p w14:paraId="7678F0FF" w14:textId="77777777" w:rsidR="00DF3365" w:rsidRDefault="00DF3365">
            <w:pPr>
              <w:pStyle w:val="TableRow"/>
              <w:rPr>
                <w:sz w:val="22"/>
                <w:szCs w:val="22"/>
              </w:rPr>
            </w:pPr>
          </w:p>
          <w:p w14:paraId="2A7D5529" w14:textId="69EAD493" w:rsidR="00BA1432" w:rsidRPr="00BA1432" w:rsidRDefault="00BA1432">
            <w:pPr>
              <w:pStyle w:val="TableRow"/>
              <w:rPr>
                <w:sz w:val="22"/>
                <w:szCs w:val="22"/>
              </w:rPr>
            </w:pPr>
            <w:r>
              <w:rPr>
                <w:sz w:val="22"/>
                <w:szCs w:val="22"/>
              </w:rPr>
              <w:lastRenderedPageBreak/>
              <w:t>0.5 LSA</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8B6AB8" w14:textId="77777777" w:rsidR="00E66558" w:rsidRDefault="00BA1432">
            <w:pPr>
              <w:pStyle w:val="TableRowCentered"/>
              <w:jc w:val="left"/>
              <w:rPr>
                <w:sz w:val="22"/>
                <w:szCs w:val="22"/>
              </w:rPr>
            </w:pPr>
            <w:r w:rsidRPr="00BA1432">
              <w:rPr>
                <w:sz w:val="22"/>
                <w:szCs w:val="22"/>
              </w:rPr>
              <w:lastRenderedPageBreak/>
              <w:t>“Phonics has a positive impact overall (+5 months) with very extensive evidence, and is an important component in the development of early reading skills, particularly for children from disadvantaged backgrounds.” – EEF</w:t>
            </w:r>
          </w:p>
          <w:p w14:paraId="0636052A" w14:textId="6E637196" w:rsidR="00EF7FDF" w:rsidRDefault="008C040F">
            <w:pPr>
              <w:pStyle w:val="TableRowCentered"/>
              <w:jc w:val="left"/>
              <w:rPr>
                <w:sz w:val="22"/>
                <w:szCs w:val="22"/>
              </w:rPr>
            </w:pPr>
            <w:hyperlink r:id="rId15" w:history="1">
              <w:r w:rsidR="00EF7FDF" w:rsidRPr="00D6129C">
                <w:rPr>
                  <w:rStyle w:val="Hyperlink"/>
                  <w:sz w:val="22"/>
                  <w:szCs w:val="22"/>
                </w:rPr>
                <w:t>https://educationendowmentfoundation.org.uk/education-evidence/teaching-learning-toolkit/phonics</w:t>
              </w:r>
            </w:hyperlink>
          </w:p>
          <w:p w14:paraId="14AA9414" w14:textId="77777777" w:rsidR="00DF3365" w:rsidRPr="00DF3365" w:rsidRDefault="00DF3365" w:rsidP="00DF3365">
            <w:pPr>
              <w:pStyle w:val="TableRowCentered"/>
              <w:rPr>
                <w:sz w:val="22"/>
                <w:szCs w:val="22"/>
              </w:rPr>
            </w:pPr>
          </w:p>
          <w:p w14:paraId="6EFF868C" w14:textId="25E68D58" w:rsidR="00DF3365" w:rsidRPr="00DF3365" w:rsidRDefault="00DF3365" w:rsidP="00DF3365">
            <w:pPr>
              <w:pStyle w:val="TableRowCentered"/>
              <w:jc w:val="left"/>
              <w:rPr>
                <w:sz w:val="22"/>
                <w:szCs w:val="22"/>
              </w:rPr>
            </w:pPr>
            <w:r w:rsidRPr="00DF3365">
              <w:rPr>
                <w:sz w:val="22"/>
                <w:szCs w:val="22"/>
              </w:rPr>
              <w:t>Reading comprehension strategies are high impact on average (+6 months). Alongside phonics it is a crucial component of early reading instruction.</w:t>
            </w:r>
          </w:p>
          <w:p w14:paraId="5BD9AD68" w14:textId="77777777" w:rsidR="00DF3365" w:rsidRPr="00DF3365" w:rsidRDefault="00DF3365" w:rsidP="00DF3365">
            <w:pPr>
              <w:pStyle w:val="TableRowCentered"/>
              <w:rPr>
                <w:sz w:val="22"/>
                <w:szCs w:val="22"/>
              </w:rPr>
            </w:pPr>
          </w:p>
          <w:p w14:paraId="6DF52B2B" w14:textId="3EC30D5B" w:rsidR="00EF7FDF" w:rsidRDefault="00DF3365" w:rsidP="00DF3365">
            <w:pPr>
              <w:pStyle w:val="TableRowCentered"/>
              <w:jc w:val="left"/>
              <w:rPr>
                <w:sz w:val="22"/>
                <w:szCs w:val="22"/>
              </w:rPr>
            </w:pPr>
            <w:r w:rsidRPr="00DF3365">
              <w:rPr>
                <w:sz w:val="22"/>
                <w:szCs w:val="22"/>
              </w:rPr>
              <w:t xml:space="preserve">It is important to identify the appropriate level of text difficulty, to provide appropriate context to practice the </w:t>
            </w:r>
            <w:r w:rsidRPr="00DF3365">
              <w:rPr>
                <w:sz w:val="22"/>
                <w:szCs w:val="22"/>
              </w:rPr>
              <w:lastRenderedPageBreak/>
              <w:t>skills, desire to engage with the text and enough challenge to improve reading comprehension.</w:t>
            </w:r>
          </w:p>
          <w:p w14:paraId="313D3011" w14:textId="73FC4AB0" w:rsidR="00DF3365" w:rsidRDefault="008C040F">
            <w:pPr>
              <w:pStyle w:val="TableRowCentered"/>
              <w:jc w:val="left"/>
              <w:rPr>
                <w:sz w:val="22"/>
                <w:szCs w:val="22"/>
              </w:rPr>
            </w:pPr>
            <w:hyperlink r:id="rId16" w:history="1">
              <w:r w:rsidR="00DF3365" w:rsidRPr="00D6129C">
                <w:rPr>
                  <w:rStyle w:val="Hyperlink"/>
                  <w:sz w:val="22"/>
                  <w:szCs w:val="22"/>
                </w:rPr>
                <w:t>https://educationendowmentfoundation.org.uk/education-evidence/teaching-learning-toolkit/reading-comprehension-strategies</w:t>
              </w:r>
            </w:hyperlink>
          </w:p>
          <w:p w14:paraId="032898AE" w14:textId="77777777" w:rsidR="00DF3365" w:rsidRDefault="00DF3365">
            <w:pPr>
              <w:pStyle w:val="TableRowCentered"/>
              <w:jc w:val="left"/>
              <w:rPr>
                <w:sz w:val="22"/>
                <w:szCs w:val="22"/>
              </w:rPr>
            </w:pPr>
          </w:p>
          <w:p w14:paraId="2A7D552A" w14:textId="0857F420" w:rsidR="00DF3365" w:rsidRPr="00BA1432" w:rsidRDefault="00DF3365" w:rsidP="00DF3365">
            <w:pPr>
              <w:pStyle w:val="TableRowCentered"/>
              <w:ind w:left="0"/>
              <w:jc w:val="left"/>
              <w:rPr>
                <w:sz w:val="22"/>
                <w:szCs w:val="22"/>
              </w:rPr>
            </w:pPr>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519F98E9" w:rsidR="00E66558" w:rsidRPr="00BA1432" w:rsidRDefault="00DD19F8">
            <w:pPr>
              <w:pStyle w:val="TableRowCentered"/>
              <w:jc w:val="left"/>
              <w:rPr>
                <w:sz w:val="22"/>
                <w:szCs w:val="22"/>
              </w:rPr>
            </w:pPr>
            <w:r>
              <w:rPr>
                <w:sz w:val="22"/>
                <w:szCs w:val="22"/>
              </w:rPr>
              <w:lastRenderedPageBreak/>
              <w:t>1,3,4,7</w:t>
            </w:r>
          </w:p>
        </w:tc>
      </w:tr>
      <w:tr w:rsidR="00E66558" w14:paraId="2A7D5530" w14:textId="77777777" w:rsidTr="005D31F5">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7B6D6E" w14:textId="3050C883" w:rsidR="00E66558" w:rsidRDefault="00BA1432">
            <w:pPr>
              <w:pStyle w:val="TableRow"/>
              <w:rPr>
                <w:sz w:val="22"/>
                <w:szCs w:val="22"/>
              </w:rPr>
            </w:pPr>
            <w:r>
              <w:rPr>
                <w:sz w:val="22"/>
                <w:szCs w:val="22"/>
              </w:rPr>
              <w:t xml:space="preserve">Targeted </w:t>
            </w:r>
            <w:r w:rsidR="005D31F5">
              <w:rPr>
                <w:sz w:val="22"/>
                <w:szCs w:val="22"/>
              </w:rPr>
              <w:t xml:space="preserve">oral language </w:t>
            </w:r>
            <w:r>
              <w:rPr>
                <w:sz w:val="22"/>
                <w:szCs w:val="22"/>
              </w:rPr>
              <w:t>interventions: 1:1 and small group support</w:t>
            </w:r>
            <w:r w:rsidR="005D31F5">
              <w:rPr>
                <w:sz w:val="22"/>
                <w:szCs w:val="22"/>
              </w:rPr>
              <w:t>, including EAL support</w:t>
            </w:r>
          </w:p>
          <w:p w14:paraId="23C22D27" w14:textId="77777777" w:rsidR="005D31F5" w:rsidRDefault="005D31F5">
            <w:pPr>
              <w:pStyle w:val="TableRow"/>
              <w:rPr>
                <w:sz w:val="22"/>
                <w:szCs w:val="22"/>
              </w:rPr>
            </w:pPr>
            <w:r>
              <w:rPr>
                <w:sz w:val="22"/>
                <w:szCs w:val="22"/>
              </w:rPr>
              <w:t>0.5 LSA</w:t>
            </w:r>
          </w:p>
          <w:p w14:paraId="2A7D552D" w14:textId="782D8C8B" w:rsidR="008C5163" w:rsidRPr="00BA1432" w:rsidRDefault="008C5163">
            <w:pPr>
              <w:pStyle w:val="TableRow"/>
              <w:rPr>
                <w:sz w:val="22"/>
                <w:szCs w:val="22"/>
              </w:rPr>
            </w:pPr>
            <w:r>
              <w:rPr>
                <w:sz w:val="22"/>
                <w:szCs w:val="22"/>
              </w:rPr>
              <w:t>Early Years 1 day LSA</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B53177" w14:textId="43FA14F6" w:rsidR="00EF7FDF" w:rsidRPr="00EF7FDF" w:rsidRDefault="00EF7FDF" w:rsidP="00EF7FDF">
            <w:pPr>
              <w:pStyle w:val="TableRowCentered"/>
              <w:jc w:val="left"/>
              <w:rPr>
                <w:sz w:val="22"/>
                <w:szCs w:val="22"/>
              </w:rPr>
            </w:pPr>
            <w:r w:rsidRPr="00EF7FDF">
              <w:rPr>
                <w:sz w:val="22"/>
                <w:szCs w:val="22"/>
              </w:rPr>
              <w:t>On average, oral language approaches have a high impact on pupil outcomes of 6 months’ additional progress.</w:t>
            </w:r>
          </w:p>
          <w:p w14:paraId="26378238" w14:textId="21882DEA" w:rsidR="00EF7FDF" w:rsidRDefault="00EF7FDF" w:rsidP="00EF7FDF">
            <w:pPr>
              <w:pStyle w:val="TableRowCentered"/>
              <w:jc w:val="left"/>
              <w:rPr>
                <w:sz w:val="22"/>
                <w:szCs w:val="22"/>
              </w:rPr>
            </w:pPr>
            <w:r w:rsidRPr="00EF7FDF">
              <w:rPr>
                <w:sz w:val="22"/>
                <w:szCs w:val="22"/>
              </w:rPr>
              <w:t>It is important that spoken language activities are matched to learners’ current stage of development, so that it extends their learning and connects with the curriculum.</w:t>
            </w:r>
          </w:p>
          <w:p w14:paraId="00563EFB" w14:textId="342B7C2A" w:rsidR="00EF7FDF" w:rsidRDefault="008C040F" w:rsidP="00EF7FDF">
            <w:pPr>
              <w:pStyle w:val="TableRowCentered"/>
              <w:jc w:val="left"/>
              <w:rPr>
                <w:sz w:val="22"/>
                <w:szCs w:val="22"/>
              </w:rPr>
            </w:pPr>
            <w:hyperlink r:id="rId17" w:history="1">
              <w:r w:rsidR="00EF7FDF" w:rsidRPr="00D6129C">
                <w:rPr>
                  <w:rStyle w:val="Hyperlink"/>
                  <w:sz w:val="22"/>
                  <w:szCs w:val="22"/>
                </w:rPr>
                <w:t>https://educationendowmentfoundation.org.uk/education-evidence/teaching-learning-toolkit/oral-language-interventions</w:t>
              </w:r>
            </w:hyperlink>
          </w:p>
          <w:p w14:paraId="2A7D552E" w14:textId="3BBBA8E5" w:rsidR="00E66558" w:rsidRPr="00BA1432" w:rsidRDefault="00E66558" w:rsidP="00EF7FDF">
            <w:pPr>
              <w:pStyle w:val="TableRowCentered"/>
              <w:ind w:left="0"/>
              <w:jc w:val="left"/>
              <w:rPr>
                <w:sz w:val="22"/>
                <w:szCs w:val="22"/>
              </w:rPr>
            </w:pPr>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0B49B8F6" w:rsidR="00E66558" w:rsidRPr="00BA1432" w:rsidRDefault="00DD19F8">
            <w:pPr>
              <w:pStyle w:val="TableRowCentered"/>
              <w:jc w:val="left"/>
              <w:rPr>
                <w:sz w:val="22"/>
                <w:szCs w:val="22"/>
              </w:rPr>
            </w:pPr>
            <w:r>
              <w:rPr>
                <w:sz w:val="22"/>
                <w:szCs w:val="22"/>
              </w:rPr>
              <w:t>1,3,4,7</w:t>
            </w:r>
          </w:p>
        </w:tc>
      </w:tr>
      <w:tr w:rsidR="005D31F5" w14:paraId="5F76F3C9" w14:textId="77777777" w:rsidTr="005D31F5">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587746" w14:textId="1726D29F" w:rsidR="005D31F5" w:rsidRDefault="005D31F5">
            <w:pPr>
              <w:pStyle w:val="TableRow"/>
              <w:rPr>
                <w:sz w:val="22"/>
                <w:szCs w:val="22"/>
              </w:rPr>
            </w:pPr>
            <w:r>
              <w:rPr>
                <w:sz w:val="22"/>
                <w:szCs w:val="22"/>
              </w:rPr>
              <w:t>Use of LSAs for pre-teaching/over-learning</w:t>
            </w:r>
          </w:p>
          <w:p w14:paraId="476ACDCA" w14:textId="77777777" w:rsidR="00EF7FDF" w:rsidRDefault="00EF7FDF">
            <w:pPr>
              <w:pStyle w:val="TableRow"/>
              <w:rPr>
                <w:sz w:val="22"/>
                <w:szCs w:val="22"/>
              </w:rPr>
            </w:pPr>
          </w:p>
          <w:p w14:paraId="2610CAAF" w14:textId="77777777" w:rsidR="008C5163" w:rsidRDefault="008C5163">
            <w:pPr>
              <w:pStyle w:val="TableRow"/>
              <w:rPr>
                <w:sz w:val="22"/>
                <w:szCs w:val="22"/>
              </w:rPr>
            </w:pPr>
            <w:r>
              <w:rPr>
                <w:sz w:val="22"/>
                <w:szCs w:val="22"/>
              </w:rPr>
              <w:t>1 day per year group</w:t>
            </w:r>
          </w:p>
          <w:p w14:paraId="0F854B6B" w14:textId="77777777" w:rsidR="008C5163" w:rsidRDefault="008C5163">
            <w:pPr>
              <w:pStyle w:val="TableRow"/>
              <w:rPr>
                <w:sz w:val="22"/>
                <w:szCs w:val="22"/>
              </w:rPr>
            </w:pPr>
            <w:r>
              <w:rPr>
                <w:sz w:val="22"/>
                <w:szCs w:val="22"/>
              </w:rPr>
              <w:t>=7 days</w:t>
            </w:r>
          </w:p>
          <w:p w14:paraId="0A113D40" w14:textId="541BB9EF" w:rsidR="00EF7FDF" w:rsidRDefault="00EF7FDF">
            <w:pPr>
              <w:pStyle w:val="TableRow"/>
              <w:rPr>
                <w:sz w:val="22"/>
                <w:szCs w:val="22"/>
              </w:rPr>
            </w:pPr>
            <w:r>
              <w:rPr>
                <w:sz w:val="22"/>
                <w:szCs w:val="22"/>
              </w:rPr>
              <w:t>One key focus for this is the development of metacognition strategies</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168D4A" w14:textId="50F3C27D" w:rsidR="005D31F5" w:rsidRDefault="005D31F5">
            <w:pPr>
              <w:pStyle w:val="TableRowCentered"/>
              <w:jc w:val="left"/>
              <w:rPr>
                <w:sz w:val="22"/>
                <w:szCs w:val="22"/>
              </w:rPr>
            </w:pPr>
            <w:r w:rsidRPr="005D31F5">
              <w:rPr>
                <w:sz w:val="22"/>
                <w:szCs w:val="22"/>
              </w:rPr>
              <w:t>‘The one teaching intervention that could most benefit a range of students, including those in disadvantaged groups, is the use of pre-learning and over-learning’ – Daniel Sobel – Narrowing the Attainment Gap.</w:t>
            </w:r>
          </w:p>
          <w:p w14:paraId="3AA7B10B" w14:textId="77777777" w:rsidR="00EF7FDF" w:rsidRPr="00EF7FDF" w:rsidRDefault="00EF7FDF" w:rsidP="00EF7FDF">
            <w:pPr>
              <w:pStyle w:val="TableRowCentered"/>
              <w:rPr>
                <w:sz w:val="22"/>
                <w:szCs w:val="22"/>
              </w:rPr>
            </w:pPr>
          </w:p>
          <w:p w14:paraId="327926ED" w14:textId="71631BA8" w:rsidR="00EF7FDF" w:rsidRDefault="00EF7FDF" w:rsidP="00EF7FDF">
            <w:pPr>
              <w:pStyle w:val="TableRowCentered"/>
              <w:jc w:val="left"/>
              <w:rPr>
                <w:sz w:val="22"/>
                <w:szCs w:val="22"/>
              </w:rPr>
            </w:pPr>
            <w:r w:rsidRPr="00EF7FDF">
              <w:rPr>
                <w:sz w:val="22"/>
                <w:szCs w:val="22"/>
              </w:rPr>
              <w:t>The potential impact of metacognition and self-regulation approaches is high (+7 months additional progress), although it can be difficult to realise this impact in practice as such methods require pupils to take greater responsibility for their learning and develop their understanding of what is required to succeed.</w:t>
            </w:r>
          </w:p>
          <w:p w14:paraId="43773BDE" w14:textId="37138B3E" w:rsidR="00EF7FDF" w:rsidRDefault="008C040F">
            <w:pPr>
              <w:pStyle w:val="TableRowCentered"/>
              <w:jc w:val="left"/>
              <w:rPr>
                <w:sz w:val="22"/>
                <w:szCs w:val="22"/>
              </w:rPr>
            </w:pPr>
            <w:hyperlink r:id="rId18" w:history="1">
              <w:r w:rsidR="00EF7FDF" w:rsidRPr="00D6129C">
                <w:rPr>
                  <w:rStyle w:val="Hyperlink"/>
                  <w:sz w:val="22"/>
                  <w:szCs w:val="22"/>
                </w:rPr>
                <w:t>https://educationendowmentfoundation.org.uk/education-evidence/teaching-learning-toolkit/metacognition-and-self-regulation</w:t>
              </w:r>
            </w:hyperlink>
          </w:p>
          <w:p w14:paraId="52676E55" w14:textId="4D294635" w:rsidR="00EF7FDF" w:rsidRPr="00BA1432" w:rsidRDefault="00EF7FDF">
            <w:pPr>
              <w:pStyle w:val="TableRowCentered"/>
              <w:jc w:val="left"/>
              <w:rPr>
                <w:sz w:val="22"/>
                <w:szCs w:val="22"/>
              </w:rPr>
            </w:pPr>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00818D" w14:textId="17C78DBC" w:rsidR="005D31F5" w:rsidRPr="00BA1432" w:rsidRDefault="00DD19F8">
            <w:pPr>
              <w:pStyle w:val="TableRowCentered"/>
              <w:jc w:val="left"/>
              <w:rPr>
                <w:sz w:val="22"/>
                <w:szCs w:val="22"/>
              </w:rPr>
            </w:pPr>
            <w:r>
              <w:rPr>
                <w:sz w:val="22"/>
                <w:szCs w:val="22"/>
              </w:rPr>
              <w:t>3,4,5</w:t>
            </w:r>
          </w:p>
        </w:tc>
      </w:tr>
      <w:tr w:rsidR="005D31F5" w14:paraId="5E4A82FB" w14:textId="77777777" w:rsidTr="005D31F5">
        <w:tc>
          <w:tcPr>
            <w:tcW w:w="31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D930E5C" w14:textId="77777777" w:rsidR="005D31F5" w:rsidRDefault="005D31F5" w:rsidP="005D31F5">
            <w:pPr>
              <w:pStyle w:val="TableRow"/>
              <w:rPr>
                <w:rFonts w:eastAsia="Arial" w:cs="Arial"/>
                <w:iCs/>
                <w:color w:val="0D0D0D" w:themeColor="text1" w:themeTint="F2"/>
                <w:sz w:val="22"/>
                <w:szCs w:val="22"/>
              </w:rPr>
            </w:pPr>
            <w:r w:rsidRPr="008C5163">
              <w:rPr>
                <w:rFonts w:eastAsia="Arial" w:cs="Arial"/>
                <w:iCs/>
                <w:color w:val="0D0D0D" w:themeColor="text1" w:themeTint="F2"/>
                <w:sz w:val="22"/>
                <w:szCs w:val="22"/>
              </w:rPr>
              <w:t>Maths breakfast club before school for year 5 and 6 children as a catch up strategy.</w:t>
            </w:r>
          </w:p>
          <w:p w14:paraId="72442F80" w14:textId="2DF08404" w:rsidR="008C5163" w:rsidRPr="008C5163" w:rsidRDefault="008C5163" w:rsidP="005D31F5">
            <w:pPr>
              <w:pStyle w:val="TableRow"/>
              <w:rPr>
                <w:sz w:val="22"/>
                <w:szCs w:val="22"/>
              </w:rPr>
            </w:pPr>
            <w:r>
              <w:rPr>
                <w:rFonts w:eastAsia="Arial" w:cs="Arial"/>
                <w:iCs/>
                <w:color w:val="0D0D0D" w:themeColor="text1" w:themeTint="F2"/>
                <w:sz w:val="22"/>
                <w:szCs w:val="22"/>
              </w:rPr>
              <w:t>=2 hrs per day = 0.3 LSA</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B6E873E" w14:textId="683EA4F5" w:rsidR="00DF3365" w:rsidRPr="00DF3365" w:rsidRDefault="00DF3365" w:rsidP="00DF3365">
            <w:pPr>
              <w:pStyle w:val="TableRowCentered"/>
              <w:ind w:left="0"/>
              <w:jc w:val="left"/>
              <w:rPr>
                <w:sz w:val="22"/>
                <w:szCs w:val="22"/>
              </w:rPr>
            </w:pPr>
            <w:r w:rsidRPr="00DF3365">
              <w:rPr>
                <w:sz w:val="22"/>
                <w:szCs w:val="22"/>
              </w:rPr>
              <w:t>Small group tuition has an average impact of four months’ additional progress over the course of a year.</w:t>
            </w:r>
          </w:p>
          <w:p w14:paraId="07208311" w14:textId="77777777" w:rsidR="005D31F5" w:rsidRDefault="00DF3365" w:rsidP="00DF3365">
            <w:pPr>
              <w:pStyle w:val="TableRowCentered"/>
              <w:ind w:left="0"/>
              <w:jc w:val="left"/>
              <w:rPr>
                <w:sz w:val="22"/>
                <w:szCs w:val="22"/>
              </w:rPr>
            </w:pPr>
            <w:r w:rsidRPr="00DF3365">
              <w:rPr>
                <w:sz w:val="22"/>
                <w:szCs w:val="22"/>
              </w:rPr>
              <w:t>Small group tuition is most likely to be effective if it is targeted at pupils’ specific needs. Diagnostic assessment can be used to assess the best way to target support.</w:t>
            </w:r>
          </w:p>
          <w:p w14:paraId="5756A4D4" w14:textId="566D1F61" w:rsidR="00DF3365" w:rsidRDefault="008C040F" w:rsidP="00DF3365">
            <w:pPr>
              <w:pStyle w:val="TableRowCentered"/>
              <w:ind w:left="0"/>
              <w:jc w:val="left"/>
              <w:rPr>
                <w:sz w:val="22"/>
                <w:szCs w:val="22"/>
              </w:rPr>
            </w:pPr>
            <w:hyperlink r:id="rId19" w:history="1">
              <w:r w:rsidR="00DF3365" w:rsidRPr="00D6129C">
                <w:rPr>
                  <w:rStyle w:val="Hyperlink"/>
                  <w:sz w:val="22"/>
                  <w:szCs w:val="22"/>
                </w:rPr>
                <w:t>https://educationendowmentfoundation.org.uk/education-evidence/teaching-learning-toolkit/small-group-tuition</w:t>
              </w:r>
            </w:hyperlink>
          </w:p>
          <w:p w14:paraId="3CDF473F" w14:textId="47C12288" w:rsidR="00DF3365" w:rsidRPr="008C5163" w:rsidRDefault="00DF3365" w:rsidP="00DF3365">
            <w:pPr>
              <w:pStyle w:val="TableRowCentered"/>
              <w:ind w:left="0"/>
              <w:jc w:val="left"/>
              <w:rPr>
                <w:sz w:val="22"/>
                <w:szCs w:val="22"/>
              </w:rPr>
            </w:pPr>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BD1E91" w14:textId="3820AF84" w:rsidR="005D31F5" w:rsidRPr="00BA1432" w:rsidRDefault="00DD19F8" w:rsidP="005D31F5">
            <w:pPr>
              <w:pStyle w:val="TableRowCentered"/>
              <w:jc w:val="left"/>
              <w:rPr>
                <w:sz w:val="22"/>
                <w:szCs w:val="22"/>
              </w:rPr>
            </w:pPr>
            <w:r>
              <w:rPr>
                <w:sz w:val="22"/>
                <w:szCs w:val="22"/>
              </w:rPr>
              <w:t>1,3,4,5,7</w:t>
            </w:r>
          </w:p>
        </w:tc>
      </w:tr>
    </w:tbl>
    <w:p w14:paraId="2A7D5531" w14:textId="77777777" w:rsidR="00E66558" w:rsidRDefault="00E66558" w:rsidP="00AA355B"/>
    <w:p w14:paraId="2A7D5532" w14:textId="4E06A722" w:rsidR="00E66558" w:rsidRDefault="009D71E8" w:rsidP="00AA355B">
      <w:pPr>
        <w:pStyle w:val="Heading3"/>
      </w:pPr>
      <w:r>
        <w:t>Wider strategies (for example, related to attendance, behaviour, wellbeing)</w:t>
      </w:r>
    </w:p>
    <w:p w14:paraId="70469399" w14:textId="34EEFBF2" w:rsidR="00380618" w:rsidRPr="00380618" w:rsidRDefault="00380618" w:rsidP="00380618">
      <w:pPr>
        <w:rPr>
          <w:rFonts w:cs="Arial"/>
        </w:rPr>
      </w:pPr>
      <w:r w:rsidRPr="00380618">
        <w:rPr>
          <w:rFonts w:cs="Arial"/>
          <w:sz w:val="22"/>
          <w:szCs w:val="22"/>
        </w:rPr>
        <w:t>A range of other strategies contributes to children’s success in school, such as improving attendance and punctuality, supporting positive behaviour, social and emotional skills and building parental engagement. Parents/carers play a key role in supporting children to learn at home and it is important for us to work together to support this.</w:t>
      </w:r>
    </w:p>
    <w:p w14:paraId="2A7D5533" w14:textId="6E1E4148" w:rsidR="00E66558" w:rsidRDefault="009D71E8">
      <w:pPr>
        <w:spacing w:before="240" w:after="120"/>
      </w:pPr>
      <w:r>
        <w:lastRenderedPageBreak/>
        <w:t xml:space="preserve">Budgeted cost: £ </w:t>
      </w:r>
      <w:r w:rsidR="00E23BB7">
        <w:t>106,000</w:t>
      </w:r>
    </w:p>
    <w:tbl>
      <w:tblPr>
        <w:tblW w:w="5000" w:type="pct"/>
        <w:tblCellMar>
          <w:left w:w="10" w:type="dxa"/>
          <w:right w:w="10" w:type="dxa"/>
        </w:tblCellMar>
        <w:tblLook w:val="04A0" w:firstRow="1" w:lastRow="0" w:firstColumn="1" w:lastColumn="0" w:noHBand="0" w:noVBand="1"/>
      </w:tblPr>
      <w:tblGrid>
        <w:gridCol w:w="2078"/>
        <w:gridCol w:w="5871"/>
        <w:gridCol w:w="1537"/>
      </w:tblGrid>
      <w:tr w:rsidR="00E66558" w14:paraId="2A7D5537" w14:textId="77777777" w:rsidTr="005D31F5">
        <w:tc>
          <w:tcPr>
            <w:tcW w:w="3114"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2A7D5534" w14:textId="77777777" w:rsidR="00E66558" w:rsidRDefault="009D71E8">
            <w:pPr>
              <w:pStyle w:val="TableHeader"/>
              <w:jc w:val="left"/>
            </w:pPr>
            <w:r>
              <w:t>Activity</w:t>
            </w:r>
          </w:p>
        </w:tc>
        <w:tc>
          <w:tcPr>
            <w:tcW w:w="4819"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1553"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E66558" w14:paraId="2A7D553B" w14:textId="77777777" w:rsidTr="005D31F5">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C06EF8" w14:textId="234DCE41" w:rsidR="00E66558" w:rsidRPr="005D31F5" w:rsidRDefault="005D31F5">
            <w:pPr>
              <w:pStyle w:val="TableRow"/>
              <w:rPr>
                <w:sz w:val="22"/>
                <w:szCs w:val="22"/>
              </w:rPr>
            </w:pPr>
            <w:r w:rsidRPr="005D31F5">
              <w:rPr>
                <w:sz w:val="22"/>
                <w:szCs w:val="22"/>
              </w:rPr>
              <w:t>Family support, aimed at improving attendance and increasing engagement with parents:</w:t>
            </w:r>
          </w:p>
          <w:p w14:paraId="2A7D5538" w14:textId="0FA5656E" w:rsidR="005D31F5" w:rsidRPr="005D31F5" w:rsidRDefault="005D31F5">
            <w:pPr>
              <w:pStyle w:val="TableRow"/>
              <w:rPr>
                <w:sz w:val="22"/>
                <w:szCs w:val="22"/>
              </w:rPr>
            </w:pPr>
            <w:r w:rsidRPr="005D31F5">
              <w:rPr>
                <w:sz w:val="22"/>
                <w:szCs w:val="22"/>
              </w:rPr>
              <w:t>Family Link worker</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960298" w14:textId="77777777" w:rsidR="00E66558" w:rsidRDefault="005D31F5">
            <w:pPr>
              <w:pStyle w:val="TableRowCentered"/>
              <w:jc w:val="left"/>
              <w:rPr>
                <w:sz w:val="22"/>
                <w:szCs w:val="22"/>
              </w:rPr>
            </w:pPr>
            <w:r w:rsidRPr="005D31F5">
              <w:rPr>
                <w:sz w:val="22"/>
                <w:szCs w:val="22"/>
              </w:rPr>
              <w:t>“Parental engagement has a positive impact on average of 4+ months additional progress. It is crucial to consider how to engage with all parents to avoid widening attainment gaps. Both targeted behavioural interventions and universal approaches have positive overall effects (+ 4 months).” – EEF.</w:t>
            </w:r>
          </w:p>
          <w:p w14:paraId="6F1F4E9E" w14:textId="4FC29B02" w:rsidR="00EF7FDF" w:rsidRDefault="008C040F">
            <w:pPr>
              <w:pStyle w:val="TableRowCentered"/>
              <w:jc w:val="left"/>
              <w:rPr>
                <w:sz w:val="22"/>
                <w:szCs w:val="22"/>
              </w:rPr>
            </w:pPr>
            <w:hyperlink r:id="rId20" w:history="1">
              <w:r w:rsidR="00EF7FDF" w:rsidRPr="00D6129C">
                <w:rPr>
                  <w:rStyle w:val="Hyperlink"/>
                  <w:sz w:val="22"/>
                  <w:szCs w:val="22"/>
                </w:rPr>
                <w:t>https://educationendowmentfoundation.org.uk/education-evidence/teaching-learning-toolkit/parental-engagement</w:t>
              </w:r>
            </w:hyperlink>
          </w:p>
          <w:p w14:paraId="2A7D5539" w14:textId="1D01F4F6" w:rsidR="00EF7FDF" w:rsidRPr="005D31F5" w:rsidRDefault="00EF7FDF">
            <w:pPr>
              <w:pStyle w:val="TableRowCentered"/>
              <w:jc w:val="left"/>
              <w:rPr>
                <w:sz w:val="22"/>
                <w:szCs w:val="22"/>
              </w:rPr>
            </w:pP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29776F47" w:rsidR="00E66558" w:rsidRPr="005D31F5" w:rsidRDefault="00DD19F8">
            <w:pPr>
              <w:pStyle w:val="TableRowCentered"/>
              <w:jc w:val="left"/>
              <w:rPr>
                <w:sz w:val="22"/>
                <w:szCs w:val="22"/>
              </w:rPr>
            </w:pPr>
            <w:r>
              <w:rPr>
                <w:sz w:val="22"/>
                <w:szCs w:val="22"/>
              </w:rPr>
              <w:t>2,3,4,5,6</w:t>
            </w:r>
          </w:p>
        </w:tc>
      </w:tr>
      <w:tr w:rsidR="00E66558" w14:paraId="2A7D553F" w14:textId="77777777" w:rsidTr="005D31F5">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5C6D2C" w14:textId="77777777" w:rsidR="00E66558" w:rsidRDefault="005D31F5">
            <w:pPr>
              <w:pStyle w:val="TableRow"/>
              <w:rPr>
                <w:sz w:val="22"/>
                <w:szCs w:val="22"/>
              </w:rPr>
            </w:pPr>
            <w:r>
              <w:rPr>
                <w:sz w:val="22"/>
                <w:szCs w:val="22"/>
              </w:rPr>
              <w:t>Provision of support staff to help pupils with SEMH needs</w:t>
            </w:r>
          </w:p>
          <w:p w14:paraId="2A7D553C" w14:textId="282DE8BD" w:rsidR="005D31F5" w:rsidRPr="005D31F5" w:rsidRDefault="005D31F5">
            <w:pPr>
              <w:pStyle w:val="TableRow"/>
              <w:rPr>
                <w:sz w:val="22"/>
                <w:szCs w:val="22"/>
              </w:rPr>
            </w:pPr>
            <w:r>
              <w:rPr>
                <w:sz w:val="22"/>
                <w:szCs w:val="22"/>
              </w:rPr>
              <w:t>2x staff</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81A0E3" w14:textId="52896D57" w:rsidR="008E55FD" w:rsidRPr="008E55FD" w:rsidRDefault="008E55FD" w:rsidP="008E55FD">
            <w:pPr>
              <w:pStyle w:val="TableRowCentered"/>
              <w:numPr>
                <w:ilvl w:val="0"/>
                <w:numId w:val="1"/>
              </w:numPr>
              <w:jc w:val="left"/>
              <w:rPr>
                <w:sz w:val="22"/>
                <w:szCs w:val="22"/>
              </w:rPr>
            </w:pPr>
            <w:r w:rsidRPr="008E55FD">
              <w:rPr>
                <w:sz w:val="22"/>
                <w:szCs w:val="22"/>
              </w:rPr>
              <w:t>Both targeted interventions and universal approaches have positive overall effects (+ 4 months). Schools should consider the appropriate combination of behaviour approaches to reduce overall disruption and provide tailored support where required.</w:t>
            </w:r>
          </w:p>
          <w:p w14:paraId="390606B2" w14:textId="20894B16" w:rsidR="008E55FD" w:rsidRDefault="008E55FD" w:rsidP="008E55FD">
            <w:pPr>
              <w:pStyle w:val="TableRowCentered"/>
              <w:jc w:val="left"/>
              <w:rPr>
                <w:sz w:val="22"/>
                <w:szCs w:val="22"/>
              </w:rPr>
            </w:pPr>
            <w:r w:rsidRPr="008E55FD">
              <w:rPr>
                <w:sz w:val="22"/>
                <w:szCs w:val="22"/>
              </w:rPr>
              <w:t>There is evidence across a range of different interventions with highest impacts for approaches that focus on self-management or role-play and rehearsal.</w:t>
            </w:r>
          </w:p>
          <w:p w14:paraId="4E123E64" w14:textId="72D6525D" w:rsidR="008E55FD" w:rsidRDefault="008C040F" w:rsidP="008E55FD">
            <w:pPr>
              <w:pStyle w:val="TableRowCentered"/>
              <w:jc w:val="left"/>
              <w:rPr>
                <w:sz w:val="22"/>
                <w:szCs w:val="22"/>
              </w:rPr>
            </w:pPr>
            <w:hyperlink r:id="rId21" w:history="1">
              <w:r w:rsidR="008E55FD" w:rsidRPr="00D6129C">
                <w:rPr>
                  <w:rStyle w:val="Hyperlink"/>
                  <w:sz w:val="22"/>
                  <w:szCs w:val="22"/>
                </w:rPr>
                <w:t>https://educationendowmentfoundation.org.uk/education-evidence/teaching-learning-toolkit/behaviour-interventions</w:t>
              </w:r>
            </w:hyperlink>
          </w:p>
          <w:p w14:paraId="2A7D553D" w14:textId="497D77E4" w:rsidR="00E66558" w:rsidRPr="005D31F5" w:rsidRDefault="00E66558" w:rsidP="008E55FD">
            <w:pPr>
              <w:pStyle w:val="TableRowCentered"/>
              <w:ind w:left="0"/>
              <w:jc w:val="left"/>
              <w:rPr>
                <w:sz w:val="22"/>
                <w:szCs w:val="22"/>
              </w:rPr>
            </w:pP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2403EFF0" w:rsidR="00E66558" w:rsidRPr="005D31F5" w:rsidRDefault="00DD19F8">
            <w:pPr>
              <w:pStyle w:val="TableRowCentered"/>
              <w:jc w:val="left"/>
              <w:rPr>
                <w:sz w:val="22"/>
                <w:szCs w:val="22"/>
              </w:rPr>
            </w:pPr>
            <w:r>
              <w:rPr>
                <w:sz w:val="22"/>
                <w:szCs w:val="22"/>
              </w:rPr>
              <w:t>1,3,5</w:t>
            </w:r>
          </w:p>
        </w:tc>
      </w:tr>
      <w:tr w:rsidR="005D31F5" w14:paraId="0C9003A5" w14:textId="77777777" w:rsidTr="008E55FD">
        <w:tc>
          <w:tcPr>
            <w:tcW w:w="31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AECD211" w14:textId="77777777" w:rsidR="005D31F5" w:rsidRPr="005D31F5" w:rsidRDefault="005D31F5" w:rsidP="005D31F5">
            <w:pPr>
              <w:pStyle w:val="TableRow"/>
              <w:rPr>
                <w:i/>
                <w:sz w:val="22"/>
                <w:szCs w:val="22"/>
              </w:rPr>
            </w:pPr>
            <w:r w:rsidRPr="005D31F5">
              <w:rPr>
                <w:i/>
                <w:sz w:val="22"/>
                <w:szCs w:val="22"/>
              </w:rPr>
              <w:t xml:space="preserve">Extra-curricular opportunities – to provide access to sport, music and singing opportunities. </w:t>
            </w:r>
          </w:p>
          <w:p w14:paraId="0A43A574" w14:textId="77777777" w:rsidR="005D31F5" w:rsidRPr="005D31F5" w:rsidRDefault="005D31F5" w:rsidP="005D31F5">
            <w:pPr>
              <w:pStyle w:val="TableRow"/>
              <w:rPr>
                <w:i/>
                <w:sz w:val="22"/>
                <w:szCs w:val="22"/>
              </w:rPr>
            </w:pPr>
            <w:r w:rsidRPr="005D31F5">
              <w:rPr>
                <w:i/>
                <w:sz w:val="22"/>
                <w:szCs w:val="22"/>
              </w:rPr>
              <w:t>Funding trips and after school clubs so children can experience a range of cultural experiences.</w:t>
            </w:r>
          </w:p>
          <w:p w14:paraId="327E288B" w14:textId="77777777" w:rsidR="005D31F5" w:rsidRDefault="005D31F5" w:rsidP="005D31F5">
            <w:pPr>
              <w:pStyle w:val="TableRow"/>
              <w:rPr>
                <w:i/>
                <w:sz w:val="22"/>
                <w:szCs w:val="22"/>
              </w:rPr>
            </w:pPr>
          </w:p>
          <w:p w14:paraId="57A7B173" w14:textId="77777777" w:rsidR="005D31F5" w:rsidRDefault="005D31F5" w:rsidP="005D31F5">
            <w:pPr>
              <w:pStyle w:val="TableRow"/>
              <w:rPr>
                <w:i/>
                <w:sz w:val="22"/>
                <w:szCs w:val="22"/>
              </w:rPr>
            </w:pPr>
            <w:r>
              <w:rPr>
                <w:i/>
                <w:sz w:val="22"/>
                <w:szCs w:val="22"/>
              </w:rPr>
              <w:t>Funding for trips</w:t>
            </w:r>
          </w:p>
          <w:p w14:paraId="238CDF11" w14:textId="77777777" w:rsidR="005D31F5" w:rsidRDefault="005D31F5" w:rsidP="005D31F5">
            <w:pPr>
              <w:pStyle w:val="TableRow"/>
              <w:rPr>
                <w:i/>
                <w:sz w:val="22"/>
                <w:szCs w:val="22"/>
              </w:rPr>
            </w:pPr>
          </w:p>
          <w:p w14:paraId="063DC34C" w14:textId="77777777" w:rsidR="005D31F5" w:rsidRDefault="005D31F5" w:rsidP="005D31F5">
            <w:pPr>
              <w:pStyle w:val="TableRow"/>
              <w:rPr>
                <w:i/>
                <w:sz w:val="22"/>
                <w:szCs w:val="22"/>
              </w:rPr>
            </w:pPr>
            <w:r>
              <w:rPr>
                <w:i/>
                <w:sz w:val="22"/>
                <w:szCs w:val="22"/>
              </w:rPr>
              <w:t>Arts provision</w:t>
            </w:r>
          </w:p>
          <w:p w14:paraId="5463D90B" w14:textId="77777777" w:rsidR="005D31F5" w:rsidRDefault="005D31F5" w:rsidP="005D31F5">
            <w:pPr>
              <w:pStyle w:val="TableRow"/>
              <w:rPr>
                <w:i/>
                <w:sz w:val="22"/>
                <w:szCs w:val="22"/>
              </w:rPr>
            </w:pPr>
          </w:p>
          <w:p w14:paraId="2FF192D9" w14:textId="18DA6F67" w:rsidR="005D31F5" w:rsidRPr="005D31F5" w:rsidRDefault="005D31F5" w:rsidP="005D31F5">
            <w:pPr>
              <w:pStyle w:val="TableRow"/>
              <w:rPr>
                <w:i/>
                <w:sz w:val="22"/>
                <w:szCs w:val="22"/>
              </w:rPr>
            </w:pPr>
            <w:r>
              <w:rPr>
                <w:i/>
                <w:sz w:val="22"/>
                <w:szCs w:val="22"/>
              </w:rPr>
              <w:t>School Camp</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02F0D5C" w14:textId="1A61DDB2" w:rsidR="005D31F5" w:rsidRDefault="005D31F5" w:rsidP="005D31F5">
            <w:pPr>
              <w:rPr>
                <w:rFonts w:eastAsia="Arial" w:cs="Arial"/>
                <w:color w:val="auto"/>
                <w:sz w:val="22"/>
                <w:szCs w:val="22"/>
              </w:rPr>
            </w:pPr>
            <w:r w:rsidRPr="005D31F5">
              <w:rPr>
                <w:rFonts w:eastAsia="Arial" w:cs="Arial"/>
                <w:color w:val="auto"/>
                <w:sz w:val="22"/>
                <w:szCs w:val="22"/>
              </w:rPr>
              <w:t xml:space="preserve">“Overall, the average impact of arts participation on other areas of academic learning is about an additional three months progress. Improved outcomes have been identified in English, mathematics and science. Some arts activities have been linked with improvements in specific outcomes. For example, there is some evidence of the impact of drama on writing and potential link between music and spatial awareness. Wider benefits such as more positive attitudes to learning and increased well-being have also consistently been reported.” - EEF. </w:t>
            </w:r>
          </w:p>
          <w:p w14:paraId="7310F377" w14:textId="5EE17705" w:rsidR="008E55FD" w:rsidRPr="005D31F5" w:rsidRDefault="008C040F" w:rsidP="005D31F5">
            <w:pPr>
              <w:rPr>
                <w:rFonts w:ascii="Roboto" w:eastAsia="Roboto" w:hAnsi="Roboto" w:cs="Roboto"/>
                <w:color w:val="0D0D0D" w:themeColor="text1" w:themeTint="F2"/>
                <w:sz w:val="22"/>
                <w:szCs w:val="22"/>
              </w:rPr>
            </w:pPr>
            <w:hyperlink r:id="rId22" w:history="1">
              <w:r w:rsidR="008E55FD" w:rsidRPr="00D6129C">
                <w:rPr>
                  <w:rStyle w:val="Hyperlink"/>
                  <w:rFonts w:ascii="Roboto" w:eastAsia="Roboto" w:hAnsi="Roboto" w:cs="Roboto"/>
                  <w:sz w:val="22"/>
                  <w:szCs w:val="22"/>
                </w:rPr>
                <w:t>https://educationendowmentfoundation.org.uk/education-evidence/teaching-learning-toolkit/arts-participation</w:t>
              </w:r>
            </w:hyperlink>
          </w:p>
          <w:p w14:paraId="619B4ED2" w14:textId="0820616F" w:rsidR="005D31F5" w:rsidRPr="005D31F5" w:rsidRDefault="005D31F5" w:rsidP="005D31F5">
            <w:pPr>
              <w:pStyle w:val="TableRowCentered"/>
              <w:jc w:val="left"/>
              <w:rPr>
                <w:sz w:val="22"/>
                <w:szCs w:val="22"/>
              </w:rPr>
            </w:pPr>
            <w:r w:rsidRPr="005D31F5">
              <w:rPr>
                <w:rFonts w:eastAsia="Arial" w:cs="Arial"/>
                <w:color w:val="auto"/>
                <w:sz w:val="22"/>
                <w:szCs w:val="22"/>
              </w:rPr>
              <w:t>“There is evidence that involvement in extra-curricular sporting activities may increase pupil attendance and retention. The average impact of the engaging in physical activity interventions and approaches is about an additional one month’s progress over the course of a year. This is based on core academic attainment but physical activity has important benefits in terms of health, wellbeing and physical development too.” - EEF.</w:t>
            </w: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2BACC7" w14:textId="475AFE0F" w:rsidR="005D31F5" w:rsidRPr="005D31F5" w:rsidRDefault="00DD19F8" w:rsidP="005D31F5">
            <w:pPr>
              <w:pStyle w:val="TableRowCentered"/>
              <w:jc w:val="left"/>
              <w:rPr>
                <w:sz w:val="22"/>
                <w:szCs w:val="22"/>
              </w:rPr>
            </w:pPr>
            <w:r>
              <w:rPr>
                <w:sz w:val="22"/>
                <w:szCs w:val="22"/>
              </w:rPr>
              <w:t>2,6</w:t>
            </w:r>
          </w:p>
        </w:tc>
      </w:tr>
    </w:tbl>
    <w:p w14:paraId="2A7D5540" w14:textId="77777777" w:rsidR="00E66558" w:rsidRDefault="00E66558">
      <w:pPr>
        <w:spacing w:before="240" w:after="0"/>
        <w:rPr>
          <w:b/>
          <w:bCs/>
          <w:color w:val="104F75"/>
          <w:sz w:val="28"/>
          <w:szCs w:val="28"/>
        </w:rPr>
      </w:pPr>
    </w:p>
    <w:p w14:paraId="2A7D5541" w14:textId="104647BA" w:rsidR="00E66558" w:rsidRDefault="009D71E8" w:rsidP="00120AB1">
      <w:r>
        <w:rPr>
          <w:b/>
          <w:bCs/>
          <w:color w:val="104F75"/>
          <w:sz w:val="28"/>
          <w:szCs w:val="28"/>
        </w:rPr>
        <w:t xml:space="preserve">Total budgeted cost: £ </w:t>
      </w:r>
      <w:r w:rsidR="00E23BB7">
        <w:rPr>
          <w:b/>
          <w:bCs/>
          <w:color w:val="104F75"/>
          <w:sz w:val="28"/>
          <w:szCs w:val="28"/>
        </w:rPr>
        <w:t>299500</w:t>
      </w:r>
    </w:p>
    <w:p w14:paraId="2A7D5542" w14:textId="18352EC3" w:rsidR="00E66558" w:rsidRPr="00064366" w:rsidRDefault="009D71E8" w:rsidP="00064366">
      <w:pPr>
        <w:pStyle w:val="Heading1"/>
      </w:pPr>
      <w:r w:rsidRPr="00064366">
        <w:lastRenderedPageBreak/>
        <w:t>Part B: Review of the previous academic year</w:t>
      </w:r>
    </w:p>
    <w:p w14:paraId="402B4CCD" w14:textId="7D4F211D" w:rsidR="00064366" w:rsidRDefault="00064366" w:rsidP="1880A041">
      <w:pPr>
        <w:pStyle w:val="Heading2"/>
      </w:pPr>
      <w:r>
        <w:t>Outcomes for disadvantaged pupils</w:t>
      </w:r>
    </w:p>
    <w:p w14:paraId="0B64A9FB" w14:textId="1430B9EC" w:rsidR="10D55F5E" w:rsidRDefault="10D55F5E" w:rsidP="1880A041">
      <w:pPr>
        <w:spacing w:before="120"/>
        <w:rPr>
          <w:rFonts w:eastAsia="Arial" w:cs="Arial"/>
          <w:color w:val="0D0D0D" w:themeColor="text1" w:themeTint="F2"/>
        </w:rPr>
      </w:pPr>
      <w:r w:rsidRPr="1880A041">
        <w:rPr>
          <w:rFonts w:eastAsia="Arial" w:cs="Arial"/>
          <w:color w:val="0D0D0D" w:themeColor="text1" w:themeTint="F2"/>
        </w:rPr>
        <w:t xml:space="preserve">Our internal assessments during 2022/2023 suggested that the performance of disadvantaged pupils has improved compared to Non PP. The gap has closed in all subjects compared to previous years and particularly in reading. </w:t>
      </w:r>
    </w:p>
    <w:p w14:paraId="41B0E3C1" w14:textId="2B200CBD" w:rsidR="10D55F5E" w:rsidRDefault="10D55F5E" w:rsidP="1880A041">
      <w:pPr>
        <w:spacing w:after="0" w:line="240" w:lineRule="auto"/>
        <w:rPr>
          <w:rFonts w:ascii="Calibri" w:eastAsia="Calibri" w:hAnsi="Calibri" w:cs="Calibri"/>
          <w:color w:val="0D0D0D" w:themeColor="text1" w:themeTint="F2"/>
          <w:sz w:val="22"/>
          <w:szCs w:val="22"/>
        </w:rPr>
      </w:pPr>
      <w:r w:rsidRPr="1880A041">
        <w:rPr>
          <w:rFonts w:ascii="Calibri" w:eastAsia="Calibri" w:hAnsi="Calibri" w:cs="Calibri"/>
          <w:b/>
          <w:bCs/>
          <w:color w:val="0D0D0D" w:themeColor="text1" w:themeTint="F2"/>
          <w:sz w:val="22"/>
          <w:szCs w:val="22"/>
          <w:u w:val="single"/>
        </w:rPr>
        <w:t>PP/Non PP Term 6 2023</w:t>
      </w:r>
      <w:r w:rsidRPr="1880A041">
        <w:rPr>
          <w:rFonts w:ascii="Calibri" w:eastAsia="Calibri" w:hAnsi="Calibri" w:cs="Calibri"/>
          <w:color w:val="0D0D0D" w:themeColor="text1" w:themeTint="F2"/>
          <w:sz w:val="22"/>
          <w:szCs w:val="22"/>
        </w:rPr>
        <w:t> </w:t>
      </w:r>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260"/>
        <w:gridCol w:w="1260"/>
        <w:gridCol w:w="1290"/>
        <w:gridCol w:w="1260"/>
        <w:gridCol w:w="1290"/>
        <w:gridCol w:w="1260"/>
        <w:gridCol w:w="1290"/>
      </w:tblGrid>
      <w:tr w:rsidR="1880A041" w14:paraId="318BFB9A" w14:textId="77777777" w:rsidTr="1880A041">
        <w:trPr>
          <w:trHeight w:val="300"/>
        </w:trPr>
        <w:tc>
          <w:tcPr>
            <w:tcW w:w="1260" w:type="dxa"/>
            <w:tcBorders>
              <w:top w:val="single" w:sz="6" w:space="0" w:color="auto"/>
              <w:left w:val="single" w:sz="6" w:space="0" w:color="auto"/>
              <w:bottom w:val="single" w:sz="6" w:space="0" w:color="auto"/>
              <w:right w:val="single" w:sz="6" w:space="0" w:color="auto"/>
            </w:tcBorders>
          </w:tcPr>
          <w:p w14:paraId="4326BBDA" w14:textId="1CFD1918" w:rsidR="1880A041" w:rsidRDefault="1880A041" w:rsidP="1880A041">
            <w:pPr>
              <w:spacing w:after="0" w:line="240" w:lineRule="auto"/>
              <w:rPr>
                <w:rFonts w:ascii="Calibri" w:eastAsia="Calibri" w:hAnsi="Calibri" w:cs="Calibri"/>
                <w:color w:val="0D0D0D" w:themeColor="text1" w:themeTint="F2"/>
                <w:sz w:val="22"/>
                <w:szCs w:val="22"/>
              </w:rPr>
            </w:pPr>
            <w:r w:rsidRPr="1880A041">
              <w:rPr>
                <w:rFonts w:ascii="Calibri" w:eastAsia="Calibri" w:hAnsi="Calibri" w:cs="Calibri"/>
                <w:color w:val="0D0D0D" w:themeColor="text1" w:themeTint="F2"/>
                <w:sz w:val="22"/>
                <w:szCs w:val="22"/>
              </w:rPr>
              <w:t> </w:t>
            </w:r>
          </w:p>
        </w:tc>
        <w:tc>
          <w:tcPr>
            <w:tcW w:w="2550" w:type="dxa"/>
            <w:gridSpan w:val="2"/>
            <w:tcBorders>
              <w:top w:val="single" w:sz="6" w:space="0" w:color="auto"/>
              <w:left w:val="single" w:sz="6" w:space="0" w:color="auto"/>
              <w:bottom w:val="single" w:sz="6" w:space="0" w:color="auto"/>
              <w:right w:val="single" w:sz="6" w:space="0" w:color="auto"/>
            </w:tcBorders>
          </w:tcPr>
          <w:p w14:paraId="6C0722EC" w14:textId="5C0E8A38" w:rsidR="1880A041" w:rsidRDefault="1880A041" w:rsidP="1880A041">
            <w:pPr>
              <w:spacing w:after="0" w:line="240" w:lineRule="auto"/>
              <w:jc w:val="center"/>
              <w:rPr>
                <w:rFonts w:ascii="Calibri" w:eastAsia="Calibri" w:hAnsi="Calibri" w:cs="Calibri"/>
                <w:color w:val="0D0D0D" w:themeColor="text1" w:themeTint="F2"/>
                <w:sz w:val="22"/>
                <w:szCs w:val="22"/>
              </w:rPr>
            </w:pPr>
            <w:r w:rsidRPr="1880A041">
              <w:rPr>
                <w:rFonts w:ascii="Calibri" w:eastAsia="Calibri" w:hAnsi="Calibri" w:cs="Calibri"/>
                <w:color w:val="0D0D0D" w:themeColor="text1" w:themeTint="F2"/>
                <w:sz w:val="22"/>
                <w:szCs w:val="22"/>
              </w:rPr>
              <w:t>Reading </w:t>
            </w:r>
          </w:p>
        </w:tc>
        <w:tc>
          <w:tcPr>
            <w:tcW w:w="2550" w:type="dxa"/>
            <w:gridSpan w:val="2"/>
            <w:tcBorders>
              <w:top w:val="single" w:sz="6" w:space="0" w:color="auto"/>
              <w:left w:val="single" w:sz="6" w:space="0" w:color="auto"/>
              <w:bottom w:val="single" w:sz="6" w:space="0" w:color="auto"/>
              <w:right w:val="single" w:sz="6" w:space="0" w:color="auto"/>
            </w:tcBorders>
          </w:tcPr>
          <w:p w14:paraId="09ECBD8B" w14:textId="3E36C5A1" w:rsidR="1880A041" w:rsidRDefault="1880A041" w:rsidP="1880A041">
            <w:pPr>
              <w:spacing w:after="0" w:line="240" w:lineRule="auto"/>
              <w:jc w:val="center"/>
              <w:rPr>
                <w:rFonts w:ascii="Calibri" w:eastAsia="Calibri" w:hAnsi="Calibri" w:cs="Calibri"/>
                <w:color w:val="0D0D0D" w:themeColor="text1" w:themeTint="F2"/>
                <w:sz w:val="22"/>
                <w:szCs w:val="22"/>
              </w:rPr>
            </w:pPr>
            <w:r w:rsidRPr="1880A041">
              <w:rPr>
                <w:rFonts w:ascii="Calibri" w:eastAsia="Calibri" w:hAnsi="Calibri" w:cs="Calibri"/>
                <w:color w:val="0D0D0D" w:themeColor="text1" w:themeTint="F2"/>
                <w:sz w:val="22"/>
                <w:szCs w:val="22"/>
              </w:rPr>
              <w:t>Writing </w:t>
            </w:r>
          </w:p>
        </w:tc>
        <w:tc>
          <w:tcPr>
            <w:tcW w:w="2550" w:type="dxa"/>
            <w:gridSpan w:val="2"/>
            <w:tcBorders>
              <w:top w:val="single" w:sz="6" w:space="0" w:color="auto"/>
              <w:left w:val="single" w:sz="6" w:space="0" w:color="auto"/>
              <w:bottom w:val="single" w:sz="6" w:space="0" w:color="auto"/>
              <w:right w:val="single" w:sz="6" w:space="0" w:color="auto"/>
            </w:tcBorders>
          </w:tcPr>
          <w:p w14:paraId="590A0662" w14:textId="1B861994" w:rsidR="1880A041" w:rsidRDefault="1880A041" w:rsidP="1880A041">
            <w:pPr>
              <w:spacing w:after="0" w:line="240" w:lineRule="auto"/>
              <w:jc w:val="center"/>
              <w:rPr>
                <w:rFonts w:ascii="Calibri" w:eastAsia="Calibri" w:hAnsi="Calibri" w:cs="Calibri"/>
                <w:color w:val="0D0D0D" w:themeColor="text1" w:themeTint="F2"/>
                <w:sz w:val="22"/>
                <w:szCs w:val="22"/>
              </w:rPr>
            </w:pPr>
            <w:r w:rsidRPr="1880A041">
              <w:rPr>
                <w:rFonts w:ascii="Calibri" w:eastAsia="Calibri" w:hAnsi="Calibri" w:cs="Calibri"/>
                <w:color w:val="0D0D0D" w:themeColor="text1" w:themeTint="F2"/>
                <w:sz w:val="22"/>
                <w:szCs w:val="22"/>
              </w:rPr>
              <w:t>Maths </w:t>
            </w:r>
          </w:p>
        </w:tc>
      </w:tr>
      <w:tr w:rsidR="1880A041" w14:paraId="30ABFE54" w14:textId="77777777" w:rsidTr="1880A041">
        <w:trPr>
          <w:trHeight w:val="300"/>
        </w:trPr>
        <w:tc>
          <w:tcPr>
            <w:tcW w:w="1260" w:type="dxa"/>
            <w:tcBorders>
              <w:top w:val="single" w:sz="6" w:space="0" w:color="auto"/>
              <w:left w:val="single" w:sz="6" w:space="0" w:color="auto"/>
              <w:bottom w:val="single" w:sz="6" w:space="0" w:color="auto"/>
              <w:right w:val="single" w:sz="6" w:space="0" w:color="auto"/>
            </w:tcBorders>
          </w:tcPr>
          <w:p w14:paraId="5B0F97AF" w14:textId="5A6A6244" w:rsidR="1880A041" w:rsidRDefault="1880A041" w:rsidP="1880A041">
            <w:pPr>
              <w:spacing w:after="0" w:line="240" w:lineRule="auto"/>
              <w:rPr>
                <w:rFonts w:ascii="Calibri" w:eastAsia="Calibri" w:hAnsi="Calibri" w:cs="Calibri"/>
                <w:color w:val="0D0D0D" w:themeColor="text1" w:themeTint="F2"/>
                <w:sz w:val="22"/>
                <w:szCs w:val="22"/>
              </w:rPr>
            </w:pPr>
            <w:r w:rsidRPr="1880A041">
              <w:rPr>
                <w:rFonts w:ascii="Calibri" w:eastAsia="Calibri" w:hAnsi="Calibri" w:cs="Calibri"/>
                <w:color w:val="0D0D0D" w:themeColor="text1" w:themeTint="F2"/>
                <w:sz w:val="22"/>
                <w:szCs w:val="22"/>
              </w:rPr>
              <w:t> </w:t>
            </w:r>
          </w:p>
        </w:tc>
        <w:tc>
          <w:tcPr>
            <w:tcW w:w="1260" w:type="dxa"/>
            <w:tcBorders>
              <w:top w:val="single" w:sz="6" w:space="0" w:color="auto"/>
              <w:left w:val="single" w:sz="6" w:space="0" w:color="auto"/>
              <w:bottom w:val="single" w:sz="6" w:space="0" w:color="auto"/>
              <w:right w:val="single" w:sz="6" w:space="0" w:color="auto"/>
            </w:tcBorders>
          </w:tcPr>
          <w:p w14:paraId="4419B0D1" w14:textId="67704F2F" w:rsidR="1880A041" w:rsidRDefault="1880A041" w:rsidP="1880A041">
            <w:pPr>
              <w:spacing w:after="0" w:line="240" w:lineRule="auto"/>
              <w:rPr>
                <w:rFonts w:ascii="Calibri" w:eastAsia="Calibri" w:hAnsi="Calibri" w:cs="Calibri"/>
                <w:color w:val="0D0D0D" w:themeColor="text1" w:themeTint="F2"/>
                <w:sz w:val="22"/>
                <w:szCs w:val="22"/>
              </w:rPr>
            </w:pPr>
            <w:r w:rsidRPr="1880A041">
              <w:rPr>
                <w:rFonts w:ascii="Calibri" w:eastAsia="Calibri" w:hAnsi="Calibri" w:cs="Calibri"/>
                <w:b/>
                <w:bCs/>
                <w:color w:val="0D0D0D" w:themeColor="text1" w:themeTint="F2"/>
                <w:sz w:val="22"/>
                <w:szCs w:val="22"/>
              </w:rPr>
              <w:t>PP</w:t>
            </w:r>
            <w:r w:rsidRPr="1880A041">
              <w:rPr>
                <w:rFonts w:ascii="Calibri" w:eastAsia="Calibri" w:hAnsi="Calibri" w:cs="Calibri"/>
                <w:color w:val="0D0D0D" w:themeColor="text1" w:themeTint="F2"/>
                <w:sz w:val="22"/>
                <w:szCs w:val="22"/>
              </w:rPr>
              <w:t> </w:t>
            </w:r>
          </w:p>
        </w:tc>
        <w:tc>
          <w:tcPr>
            <w:tcW w:w="1290" w:type="dxa"/>
            <w:tcBorders>
              <w:top w:val="single" w:sz="6" w:space="0" w:color="auto"/>
              <w:left w:val="single" w:sz="6" w:space="0" w:color="auto"/>
              <w:bottom w:val="single" w:sz="6" w:space="0" w:color="auto"/>
              <w:right w:val="single" w:sz="6" w:space="0" w:color="auto"/>
            </w:tcBorders>
          </w:tcPr>
          <w:p w14:paraId="27B870C4" w14:textId="2F9C9D1D" w:rsidR="1880A041" w:rsidRDefault="1880A041" w:rsidP="1880A041">
            <w:pPr>
              <w:spacing w:after="0" w:line="240" w:lineRule="auto"/>
              <w:rPr>
                <w:rFonts w:ascii="Calibri" w:eastAsia="Calibri" w:hAnsi="Calibri" w:cs="Calibri"/>
                <w:color w:val="0D0D0D" w:themeColor="text1" w:themeTint="F2"/>
                <w:sz w:val="22"/>
                <w:szCs w:val="22"/>
              </w:rPr>
            </w:pPr>
            <w:r w:rsidRPr="1880A041">
              <w:rPr>
                <w:rFonts w:ascii="Calibri" w:eastAsia="Calibri" w:hAnsi="Calibri" w:cs="Calibri"/>
                <w:b/>
                <w:bCs/>
                <w:color w:val="0D0D0D" w:themeColor="text1" w:themeTint="F2"/>
                <w:sz w:val="22"/>
                <w:szCs w:val="22"/>
              </w:rPr>
              <w:t>Non PP</w:t>
            </w:r>
            <w:r w:rsidRPr="1880A041">
              <w:rPr>
                <w:rFonts w:ascii="Calibri" w:eastAsia="Calibri" w:hAnsi="Calibri" w:cs="Calibri"/>
                <w:color w:val="0D0D0D" w:themeColor="text1" w:themeTint="F2"/>
                <w:sz w:val="22"/>
                <w:szCs w:val="22"/>
              </w:rPr>
              <w:t> </w:t>
            </w:r>
          </w:p>
        </w:tc>
        <w:tc>
          <w:tcPr>
            <w:tcW w:w="1260" w:type="dxa"/>
            <w:tcBorders>
              <w:top w:val="single" w:sz="6" w:space="0" w:color="auto"/>
              <w:left w:val="single" w:sz="6" w:space="0" w:color="auto"/>
              <w:bottom w:val="single" w:sz="6" w:space="0" w:color="auto"/>
              <w:right w:val="single" w:sz="6" w:space="0" w:color="auto"/>
            </w:tcBorders>
          </w:tcPr>
          <w:p w14:paraId="2D646C95" w14:textId="07FF388B" w:rsidR="1880A041" w:rsidRDefault="1880A041" w:rsidP="1880A041">
            <w:pPr>
              <w:spacing w:after="0" w:line="240" w:lineRule="auto"/>
              <w:rPr>
                <w:rFonts w:ascii="Calibri" w:eastAsia="Calibri" w:hAnsi="Calibri" w:cs="Calibri"/>
                <w:color w:val="0D0D0D" w:themeColor="text1" w:themeTint="F2"/>
                <w:sz w:val="22"/>
                <w:szCs w:val="22"/>
              </w:rPr>
            </w:pPr>
            <w:r w:rsidRPr="1880A041">
              <w:rPr>
                <w:rFonts w:ascii="Calibri" w:eastAsia="Calibri" w:hAnsi="Calibri" w:cs="Calibri"/>
                <w:b/>
                <w:bCs/>
                <w:color w:val="0D0D0D" w:themeColor="text1" w:themeTint="F2"/>
                <w:sz w:val="22"/>
                <w:szCs w:val="22"/>
              </w:rPr>
              <w:t>PP</w:t>
            </w:r>
            <w:r w:rsidRPr="1880A041">
              <w:rPr>
                <w:rFonts w:ascii="Calibri" w:eastAsia="Calibri" w:hAnsi="Calibri" w:cs="Calibri"/>
                <w:color w:val="0D0D0D" w:themeColor="text1" w:themeTint="F2"/>
                <w:sz w:val="22"/>
                <w:szCs w:val="22"/>
              </w:rPr>
              <w:t> </w:t>
            </w:r>
          </w:p>
        </w:tc>
        <w:tc>
          <w:tcPr>
            <w:tcW w:w="1290" w:type="dxa"/>
            <w:tcBorders>
              <w:top w:val="single" w:sz="6" w:space="0" w:color="auto"/>
              <w:left w:val="single" w:sz="6" w:space="0" w:color="auto"/>
              <w:bottom w:val="single" w:sz="6" w:space="0" w:color="auto"/>
              <w:right w:val="single" w:sz="6" w:space="0" w:color="auto"/>
            </w:tcBorders>
          </w:tcPr>
          <w:p w14:paraId="19F8630F" w14:textId="7142D0E0" w:rsidR="1880A041" w:rsidRDefault="1880A041" w:rsidP="1880A041">
            <w:pPr>
              <w:spacing w:after="0" w:line="240" w:lineRule="auto"/>
              <w:rPr>
                <w:rFonts w:ascii="Calibri" w:eastAsia="Calibri" w:hAnsi="Calibri" w:cs="Calibri"/>
                <w:color w:val="0D0D0D" w:themeColor="text1" w:themeTint="F2"/>
                <w:sz w:val="22"/>
                <w:szCs w:val="22"/>
              </w:rPr>
            </w:pPr>
            <w:r w:rsidRPr="1880A041">
              <w:rPr>
                <w:rFonts w:ascii="Calibri" w:eastAsia="Calibri" w:hAnsi="Calibri" w:cs="Calibri"/>
                <w:b/>
                <w:bCs/>
                <w:color w:val="0D0D0D" w:themeColor="text1" w:themeTint="F2"/>
                <w:sz w:val="22"/>
                <w:szCs w:val="22"/>
              </w:rPr>
              <w:t>Non PP</w:t>
            </w:r>
            <w:r w:rsidRPr="1880A041">
              <w:rPr>
                <w:rFonts w:ascii="Calibri" w:eastAsia="Calibri" w:hAnsi="Calibri" w:cs="Calibri"/>
                <w:color w:val="0D0D0D" w:themeColor="text1" w:themeTint="F2"/>
                <w:sz w:val="22"/>
                <w:szCs w:val="22"/>
              </w:rPr>
              <w:t> </w:t>
            </w:r>
          </w:p>
        </w:tc>
        <w:tc>
          <w:tcPr>
            <w:tcW w:w="1260" w:type="dxa"/>
            <w:tcBorders>
              <w:top w:val="single" w:sz="6" w:space="0" w:color="auto"/>
              <w:left w:val="single" w:sz="6" w:space="0" w:color="auto"/>
              <w:bottom w:val="single" w:sz="6" w:space="0" w:color="auto"/>
              <w:right w:val="single" w:sz="6" w:space="0" w:color="auto"/>
            </w:tcBorders>
          </w:tcPr>
          <w:p w14:paraId="12D16ADD" w14:textId="5825D506" w:rsidR="1880A041" w:rsidRDefault="1880A041" w:rsidP="1880A041">
            <w:pPr>
              <w:spacing w:after="0" w:line="240" w:lineRule="auto"/>
              <w:rPr>
                <w:rFonts w:ascii="Calibri" w:eastAsia="Calibri" w:hAnsi="Calibri" w:cs="Calibri"/>
                <w:color w:val="0D0D0D" w:themeColor="text1" w:themeTint="F2"/>
                <w:sz w:val="22"/>
                <w:szCs w:val="22"/>
              </w:rPr>
            </w:pPr>
            <w:r w:rsidRPr="1880A041">
              <w:rPr>
                <w:rFonts w:ascii="Calibri" w:eastAsia="Calibri" w:hAnsi="Calibri" w:cs="Calibri"/>
                <w:b/>
                <w:bCs/>
                <w:color w:val="0D0D0D" w:themeColor="text1" w:themeTint="F2"/>
                <w:sz w:val="22"/>
                <w:szCs w:val="22"/>
              </w:rPr>
              <w:t>PP</w:t>
            </w:r>
            <w:r w:rsidRPr="1880A041">
              <w:rPr>
                <w:rFonts w:ascii="Calibri" w:eastAsia="Calibri" w:hAnsi="Calibri" w:cs="Calibri"/>
                <w:color w:val="0D0D0D" w:themeColor="text1" w:themeTint="F2"/>
                <w:sz w:val="22"/>
                <w:szCs w:val="22"/>
              </w:rPr>
              <w:t> </w:t>
            </w:r>
          </w:p>
        </w:tc>
        <w:tc>
          <w:tcPr>
            <w:tcW w:w="1290" w:type="dxa"/>
            <w:tcBorders>
              <w:top w:val="single" w:sz="6" w:space="0" w:color="auto"/>
              <w:left w:val="single" w:sz="6" w:space="0" w:color="auto"/>
              <w:bottom w:val="single" w:sz="6" w:space="0" w:color="auto"/>
              <w:right w:val="single" w:sz="6" w:space="0" w:color="auto"/>
            </w:tcBorders>
          </w:tcPr>
          <w:p w14:paraId="7E7D6802" w14:textId="6CE11265" w:rsidR="1880A041" w:rsidRDefault="1880A041" w:rsidP="1880A041">
            <w:pPr>
              <w:spacing w:after="0" w:line="240" w:lineRule="auto"/>
              <w:rPr>
                <w:rFonts w:ascii="Calibri" w:eastAsia="Calibri" w:hAnsi="Calibri" w:cs="Calibri"/>
                <w:color w:val="0D0D0D" w:themeColor="text1" w:themeTint="F2"/>
                <w:sz w:val="22"/>
                <w:szCs w:val="22"/>
              </w:rPr>
            </w:pPr>
            <w:r w:rsidRPr="1880A041">
              <w:rPr>
                <w:rFonts w:ascii="Calibri" w:eastAsia="Calibri" w:hAnsi="Calibri" w:cs="Calibri"/>
                <w:b/>
                <w:bCs/>
                <w:color w:val="0D0D0D" w:themeColor="text1" w:themeTint="F2"/>
                <w:sz w:val="22"/>
                <w:szCs w:val="22"/>
              </w:rPr>
              <w:t>Non PP</w:t>
            </w:r>
            <w:r w:rsidRPr="1880A041">
              <w:rPr>
                <w:rFonts w:ascii="Calibri" w:eastAsia="Calibri" w:hAnsi="Calibri" w:cs="Calibri"/>
                <w:color w:val="0D0D0D" w:themeColor="text1" w:themeTint="F2"/>
                <w:sz w:val="22"/>
                <w:szCs w:val="22"/>
              </w:rPr>
              <w:t> </w:t>
            </w:r>
          </w:p>
        </w:tc>
      </w:tr>
      <w:tr w:rsidR="1880A041" w14:paraId="4D188E98" w14:textId="77777777" w:rsidTr="1880A041">
        <w:trPr>
          <w:trHeight w:val="300"/>
        </w:trPr>
        <w:tc>
          <w:tcPr>
            <w:tcW w:w="1260" w:type="dxa"/>
            <w:tcBorders>
              <w:top w:val="single" w:sz="6" w:space="0" w:color="auto"/>
              <w:left w:val="single" w:sz="6" w:space="0" w:color="auto"/>
              <w:bottom w:val="single" w:sz="6" w:space="0" w:color="auto"/>
              <w:right w:val="single" w:sz="6" w:space="0" w:color="auto"/>
            </w:tcBorders>
          </w:tcPr>
          <w:p w14:paraId="3ABAA430" w14:textId="322A7E02" w:rsidR="1880A041" w:rsidRDefault="1880A041" w:rsidP="1880A041">
            <w:pPr>
              <w:spacing w:after="0" w:line="240" w:lineRule="auto"/>
              <w:rPr>
                <w:rFonts w:ascii="Calibri" w:eastAsia="Calibri" w:hAnsi="Calibri" w:cs="Calibri"/>
                <w:color w:val="0D0D0D" w:themeColor="text1" w:themeTint="F2"/>
                <w:sz w:val="22"/>
                <w:szCs w:val="22"/>
              </w:rPr>
            </w:pPr>
            <w:r w:rsidRPr="1880A041">
              <w:rPr>
                <w:rFonts w:ascii="Calibri" w:eastAsia="Calibri" w:hAnsi="Calibri" w:cs="Calibri"/>
                <w:b/>
                <w:bCs/>
                <w:color w:val="0D0D0D" w:themeColor="text1" w:themeTint="F2"/>
                <w:sz w:val="22"/>
                <w:szCs w:val="22"/>
              </w:rPr>
              <w:t>Y1</w:t>
            </w:r>
            <w:r w:rsidRPr="1880A041">
              <w:rPr>
                <w:rFonts w:ascii="Calibri" w:eastAsia="Calibri" w:hAnsi="Calibri" w:cs="Calibri"/>
                <w:color w:val="0D0D0D" w:themeColor="text1" w:themeTint="F2"/>
                <w:sz w:val="22"/>
                <w:szCs w:val="22"/>
              </w:rPr>
              <w:t> </w:t>
            </w:r>
          </w:p>
        </w:tc>
        <w:tc>
          <w:tcPr>
            <w:tcW w:w="1260" w:type="dxa"/>
            <w:tcBorders>
              <w:top w:val="single" w:sz="6" w:space="0" w:color="auto"/>
              <w:left w:val="single" w:sz="6" w:space="0" w:color="auto"/>
              <w:bottom w:val="single" w:sz="6" w:space="0" w:color="auto"/>
              <w:right w:val="single" w:sz="6" w:space="0" w:color="auto"/>
            </w:tcBorders>
            <w:shd w:val="clear" w:color="auto" w:fill="FF0000"/>
          </w:tcPr>
          <w:p w14:paraId="6414309B" w14:textId="7083CA83" w:rsidR="1880A041" w:rsidRDefault="1880A041" w:rsidP="1880A041">
            <w:pPr>
              <w:spacing w:after="0" w:line="240" w:lineRule="auto"/>
              <w:rPr>
                <w:rFonts w:ascii="Calibri" w:eastAsia="Calibri" w:hAnsi="Calibri" w:cs="Calibri"/>
                <w:color w:val="0D0D0D" w:themeColor="text1" w:themeTint="F2"/>
                <w:sz w:val="22"/>
                <w:szCs w:val="22"/>
              </w:rPr>
            </w:pPr>
            <w:r w:rsidRPr="1880A041">
              <w:rPr>
                <w:rFonts w:ascii="Calibri" w:eastAsia="Calibri" w:hAnsi="Calibri" w:cs="Calibri"/>
                <w:b/>
                <w:bCs/>
                <w:color w:val="0D0D0D" w:themeColor="text1" w:themeTint="F2"/>
                <w:sz w:val="22"/>
                <w:szCs w:val="22"/>
              </w:rPr>
              <w:t>53%</w:t>
            </w:r>
            <w:r w:rsidRPr="1880A041">
              <w:rPr>
                <w:rFonts w:ascii="Calibri" w:eastAsia="Calibri" w:hAnsi="Calibri" w:cs="Calibri"/>
                <w:color w:val="0D0D0D" w:themeColor="text1" w:themeTint="F2"/>
                <w:sz w:val="22"/>
                <w:szCs w:val="22"/>
              </w:rPr>
              <w:t> </w:t>
            </w:r>
          </w:p>
        </w:tc>
        <w:tc>
          <w:tcPr>
            <w:tcW w:w="1290" w:type="dxa"/>
            <w:tcBorders>
              <w:top w:val="single" w:sz="6" w:space="0" w:color="auto"/>
              <w:left w:val="single" w:sz="6" w:space="0" w:color="auto"/>
              <w:bottom w:val="single" w:sz="6" w:space="0" w:color="auto"/>
              <w:right w:val="single" w:sz="6" w:space="0" w:color="auto"/>
            </w:tcBorders>
            <w:shd w:val="clear" w:color="auto" w:fill="00B0F0"/>
          </w:tcPr>
          <w:p w14:paraId="07A5C64F" w14:textId="3975D708" w:rsidR="1880A041" w:rsidRDefault="1880A041" w:rsidP="1880A041">
            <w:pPr>
              <w:spacing w:after="0" w:line="240" w:lineRule="auto"/>
              <w:rPr>
                <w:rFonts w:ascii="Calibri" w:eastAsia="Calibri" w:hAnsi="Calibri" w:cs="Calibri"/>
                <w:color w:val="0D0D0D" w:themeColor="text1" w:themeTint="F2"/>
                <w:sz w:val="22"/>
                <w:szCs w:val="22"/>
              </w:rPr>
            </w:pPr>
            <w:r w:rsidRPr="1880A041">
              <w:rPr>
                <w:rFonts w:ascii="Calibri" w:eastAsia="Calibri" w:hAnsi="Calibri" w:cs="Calibri"/>
                <w:b/>
                <w:bCs/>
                <w:color w:val="0D0D0D" w:themeColor="text1" w:themeTint="F2"/>
                <w:sz w:val="22"/>
                <w:szCs w:val="22"/>
              </w:rPr>
              <w:t>61%</w:t>
            </w:r>
            <w:r w:rsidRPr="1880A041">
              <w:rPr>
                <w:rFonts w:ascii="Calibri" w:eastAsia="Calibri" w:hAnsi="Calibri" w:cs="Calibri"/>
                <w:color w:val="0D0D0D" w:themeColor="text1" w:themeTint="F2"/>
                <w:sz w:val="22"/>
                <w:szCs w:val="22"/>
              </w:rPr>
              <w:t> </w:t>
            </w:r>
          </w:p>
        </w:tc>
        <w:tc>
          <w:tcPr>
            <w:tcW w:w="1260" w:type="dxa"/>
            <w:tcBorders>
              <w:top w:val="single" w:sz="6" w:space="0" w:color="auto"/>
              <w:left w:val="single" w:sz="6" w:space="0" w:color="auto"/>
              <w:bottom w:val="single" w:sz="6" w:space="0" w:color="auto"/>
              <w:right w:val="single" w:sz="6" w:space="0" w:color="auto"/>
            </w:tcBorders>
            <w:shd w:val="clear" w:color="auto" w:fill="00B0F0"/>
          </w:tcPr>
          <w:p w14:paraId="67689DF7" w14:textId="40EEE97F" w:rsidR="1880A041" w:rsidRDefault="1880A041" w:rsidP="1880A041">
            <w:pPr>
              <w:spacing w:after="0" w:line="240" w:lineRule="auto"/>
              <w:rPr>
                <w:rFonts w:ascii="Calibri" w:eastAsia="Calibri" w:hAnsi="Calibri" w:cs="Calibri"/>
                <w:color w:val="0D0D0D" w:themeColor="text1" w:themeTint="F2"/>
                <w:sz w:val="22"/>
                <w:szCs w:val="22"/>
              </w:rPr>
            </w:pPr>
            <w:r w:rsidRPr="1880A041">
              <w:rPr>
                <w:rFonts w:ascii="Calibri" w:eastAsia="Calibri" w:hAnsi="Calibri" w:cs="Calibri"/>
                <w:b/>
                <w:bCs/>
                <w:color w:val="0D0D0D" w:themeColor="text1" w:themeTint="F2"/>
                <w:sz w:val="22"/>
                <w:szCs w:val="22"/>
              </w:rPr>
              <w:t>47%</w:t>
            </w:r>
            <w:r w:rsidRPr="1880A041">
              <w:rPr>
                <w:rFonts w:ascii="Calibri" w:eastAsia="Calibri" w:hAnsi="Calibri" w:cs="Calibri"/>
                <w:color w:val="0D0D0D" w:themeColor="text1" w:themeTint="F2"/>
                <w:sz w:val="22"/>
                <w:szCs w:val="22"/>
              </w:rPr>
              <w:t> </w:t>
            </w:r>
          </w:p>
        </w:tc>
        <w:tc>
          <w:tcPr>
            <w:tcW w:w="1290" w:type="dxa"/>
            <w:tcBorders>
              <w:top w:val="single" w:sz="6" w:space="0" w:color="auto"/>
              <w:left w:val="single" w:sz="6" w:space="0" w:color="auto"/>
              <w:bottom w:val="single" w:sz="6" w:space="0" w:color="auto"/>
              <w:right w:val="single" w:sz="6" w:space="0" w:color="auto"/>
            </w:tcBorders>
            <w:shd w:val="clear" w:color="auto" w:fill="FF0000"/>
          </w:tcPr>
          <w:p w14:paraId="558DEEB7" w14:textId="59E15DD0" w:rsidR="1880A041" w:rsidRDefault="1880A041" w:rsidP="1880A041">
            <w:pPr>
              <w:spacing w:after="0" w:line="240" w:lineRule="auto"/>
              <w:rPr>
                <w:rFonts w:ascii="Calibri" w:eastAsia="Calibri" w:hAnsi="Calibri" w:cs="Calibri"/>
                <w:color w:val="0D0D0D" w:themeColor="text1" w:themeTint="F2"/>
                <w:sz w:val="22"/>
                <w:szCs w:val="22"/>
              </w:rPr>
            </w:pPr>
            <w:r w:rsidRPr="1880A041">
              <w:rPr>
                <w:rFonts w:ascii="Calibri" w:eastAsia="Calibri" w:hAnsi="Calibri" w:cs="Calibri"/>
                <w:b/>
                <w:bCs/>
                <w:color w:val="0D0D0D" w:themeColor="text1" w:themeTint="F2"/>
                <w:sz w:val="22"/>
                <w:szCs w:val="22"/>
              </w:rPr>
              <w:t>43%</w:t>
            </w:r>
            <w:r w:rsidRPr="1880A041">
              <w:rPr>
                <w:rFonts w:ascii="Calibri" w:eastAsia="Calibri" w:hAnsi="Calibri" w:cs="Calibri"/>
                <w:color w:val="0D0D0D" w:themeColor="text1" w:themeTint="F2"/>
                <w:sz w:val="22"/>
                <w:szCs w:val="22"/>
              </w:rPr>
              <w:t> </w:t>
            </w:r>
          </w:p>
        </w:tc>
        <w:tc>
          <w:tcPr>
            <w:tcW w:w="1260" w:type="dxa"/>
            <w:tcBorders>
              <w:top w:val="single" w:sz="6" w:space="0" w:color="auto"/>
              <w:left w:val="single" w:sz="6" w:space="0" w:color="auto"/>
              <w:bottom w:val="single" w:sz="6" w:space="0" w:color="auto"/>
              <w:right w:val="single" w:sz="6" w:space="0" w:color="auto"/>
            </w:tcBorders>
            <w:shd w:val="clear" w:color="auto" w:fill="00B0F0"/>
          </w:tcPr>
          <w:p w14:paraId="046D9F9B" w14:textId="7FC9CC5F" w:rsidR="1880A041" w:rsidRDefault="1880A041" w:rsidP="1880A041">
            <w:pPr>
              <w:spacing w:after="0" w:line="240" w:lineRule="auto"/>
              <w:rPr>
                <w:rFonts w:ascii="Calibri" w:eastAsia="Calibri" w:hAnsi="Calibri" w:cs="Calibri"/>
                <w:color w:val="0D0D0D" w:themeColor="text1" w:themeTint="F2"/>
                <w:sz w:val="22"/>
                <w:szCs w:val="22"/>
              </w:rPr>
            </w:pPr>
            <w:r w:rsidRPr="1880A041">
              <w:rPr>
                <w:rFonts w:ascii="Calibri" w:eastAsia="Calibri" w:hAnsi="Calibri" w:cs="Calibri"/>
                <w:b/>
                <w:bCs/>
                <w:color w:val="0D0D0D" w:themeColor="text1" w:themeTint="F2"/>
                <w:sz w:val="22"/>
                <w:szCs w:val="22"/>
              </w:rPr>
              <w:t>59%</w:t>
            </w:r>
            <w:r w:rsidRPr="1880A041">
              <w:rPr>
                <w:rFonts w:ascii="Calibri" w:eastAsia="Calibri" w:hAnsi="Calibri" w:cs="Calibri"/>
                <w:color w:val="0D0D0D" w:themeColor="text1" w:themeTint="F2"/>
                <w:sz w:val="22"/>
                <w:szCs w:val="22"/>
              </w:rPr>
              <w:t> </w:t>
            </w:r>
          </w:p>
        </w:tc>
        <w:tc>
          <w:tcPr>
            <w:tcW w:w="1290" w:type="dxa"/>
            <w:tcBorders>
              <w:top w:val="single" w:sz="6" w:space="0" w:color="auto"/>
              <w:left w:val="single" w:sz="6" w:space="0" w:color="auto"/>
              <w:bottom w:val="single" w:sz="6" w:space="0" w:color="auto"/>
              <w:right w:val="single" w:sz="6" w:space="0" w:color="auto"/>
            </w:tcBorders>
            <w:shd w:val="clear" w:color="auto" w:fill="FF0000"/>
          </w:tcPr>
          <w:p w14:paraId="56D757F6" w14:textId="3FF4E588" w:rsidR="1880A041" w:rsidRDefault="1880A041" w:rsidP="1880A041">
            <w:pPr>
              <w:spacing w:after="0" w:line="240" w:lineRule="auto"/>
              <w:rPr>
                <w:rFonts w:ascii="Calibri" w:eastAsia="Calibri" w:hAnsi="Calibri" w:cs="Calibri"/>
                <w:color w:val="0D0D0D" w:themeColor="text1" w:themeTint="F2"/>
                <w:sz w:val="22"/>
                <w:szCs w:val="22"/>
              </w:rPr>
            </w:pPr>
            <w:r w:rsidRPr="1880A041">
              <w:rPr>
                <w:rFonts w:ascii="Calibri" w:eastAsia="Calibri" w:hAnsi="Calibri" w:cs="Calibri"/>
                <w:b/>
                <w:bCs/>
                <w:color w:val="0D0D0D" w:themeColor="text1" w:themeTint="F2"/>
                <w:sz w:val="22"/>
                <w:szCs w:val="22"/>
              </w:rPr>
              <w:t>57%</w:t>
            </w:r>
            <w:r w:rsidRPr="1880A041">
              <w:rPr>
                <w:rFonts w:ascii="Calibri" w:eastAsia="Calibri" w:hAnsi="Calibri" w:cs="Calibri"/>
                <w:color w:val="0D0D0D" w:themeColor="text1" w:themeTint="F2"/>
                <w:sz w:val="22"/>
                <w:szCs w:val="22"/>
              </w:rPr>
              <w:t> </w:t>
            </w:r>
          </w:p>
        </w:tc>
      </w:tr>
      <w:tr w:rsidR="1880A041" w14:paraId="35F0D191" w14:textId="77777777" w:rsidTr="1880A041">
        <w:trPr>
          <w:trHeight w:val="300"/>
        </w:trPr>
        <w:tc>
          <w:tcPr>
            <w:tcW w:w="1260" w:type="dxa"/>
            <w:tcBorders>
              <w:top w:val="single" w:sz="6" w:space="0" w:color="auto"/>
              <w:left w:val="single" w:sz="6" w:space="0" w:color="auto"/>
              <w:bottom w:val="single" w:sz="6" w:space="0" w:color="auto"/>
              <w:right w:val="single" w:sz="6" w:space="0" w:color="auto"/>
            </w:tcBorders>
            <w:shd w:val="clear" w:color="auto" w:fill="FFE599"/>
          </w:tcPr>
          <w:p w14:paraId="194B6A0B" w14:textId="0F2D676B" w:rsidR="1880A041" w:rsidRDefault="1880A041" w:rsidP="1880A041">
            <w:pPr>
              <w:spacing w:after="0" w:line="240" w:lineRule="auto"/>
              <w:rPr>
                <w:rFonts w:ascii="Calibri" w:eastAsia="Calibri" w:hAnsi="Calibri" w:cs="Calibri"/>
                <w:color w:val="0D0D0D" w:themeColor="text1" w:themeTint="F2"/>
                <w:sz w:val="22"/>
                <w:szCs w:val="22"/>
              </w:rPr>
            </w:pPr>
            <w:r w:rsidRPr="1880A041">
              <w:rPr>
                <w:rFonts w:ascii="Calibri" w:eastAsia="Calibri" w:hAnsi="Calibri" w:cs="Calibri"/>
                <w:b/>
                <w:bCs/>
                <w:color w:val="0D0D0D" w:themeColor="text1" w:themeTint="F2"/>
                <w:sz w:val="22"/>
                <w:szCs w:val="22"/>
              </w:rPr>
              <w:t>Y2</w:t>
            </w:r>
            <w:r w:rsidRPr="1880A041">
              <w:rPr>
                <w:rFonts w:ascii="Calibri" w:eastAsia="Calibri" w:hAnsi="Calibri" w:cs="Calibri"/>
                <w:color w:val="0D0D0D" w:themeColor="text1" w:themeTint="F2"/>
                <w:sz w:val="22"/>
                <w:szCs w:val="22"/>
              </w:rPr>
              <w:t> </w:t>
            </w:r>
          </w:p>
        </w:tc>
        <w:tc>
          <w:tcPr>
            <w:tcW w:w="1260" w:type="dxa"/>
            <w:tcBorders>
              <w:top w:val="single" w:sz="6" w:space="0" w:color="auto"/>
              <w:left w:val="single" w:sz="6" w:space="0" w:color="auto"/>
              <w:bottom w:val="single" w:sz="6" w:space="0" w:color="auto"/>
              <w:right w:val="single" w:sz="6" w:space="0" w:color="auto"/>
            </w:tcBorders>
            <w:shd w:val="clear" w:color="auto" w:fill="00B0F0"/>
          </w:tcPr>
          <w:p w14:paraId="4E1A0F72" w14:textId="6D003D60" w:rsidR="1880A041" w:rsidRDefault="1880A041" w:rsidP="1880A041">
            <w:pPr>
              <w:spacing w:after="0" w:line="240" w:lineRule="auto"/>
              <w:rPr>
                <w:rFonts w:ascii="Calibri" w:eastAsia="Calibri" w:hAnsi="Calibri" w:cs="Calibri"/>
                <w:color w:val="0D0D0D" w:themeColor="text1" w:themeTint="F2"/>
                <w:sz w:val="22"/>
                <w:szCs w:val="22"/>
              </w:rPr>
            </w:pPr>
            <w:r w:rsidRPr="1880A041">
              <w:rPr>
                <w:rFonts w:ascii="Calibri" w:eastAsia="Calibri" w:hAnsi="Calibri" w:cs="Calibri"/>
                <w:b/>
                <w:bCs/>
                <w:color w:val="0D0D0D" w:themeColor="text1" w:themeTint="F2"/>
                <w:sz w:val="22"/>
                <w:szCs w:val="22"/>
              </w:rPr>
              <w:t>61%</w:t>
            </w:r>
            <w:r w:rsidRPr="1880A041">
              <w:rPr>
                <w:rFonts w:ascii="Calibri" w:eastAsia="Calibri" w:hAnsi="Calibri" w:cs="Calibri"/>
                <w:color w:val="0D0D0D" w:themeColor="text1" w:themeTint="F2"/>
                <w:sz w:val="22"/>
                <w:szCs w:val="22"/>
              </w:rPr>
              <w:t> </w:t>
            </w:r>
          </w:p>
        </w:tc>
        <w:tc>
          <w:tcPr>
            <w:tcW w:w="1290" w:type="dxa"/>
            <w:tcBorders>
              <w:top w:val="single" w:sz="6" w:space="0" w:color="auto"/>
              <w:left w:val="single" w:sz="6" w:space="0" w:color="auto"/>
              <w:bottom w:val="single" w:sz="6" w:space="0" w:color="auto"/>
              <w:right w:val="single" w:sz="6" w:space="0" w:color="auto"/>
            </w:tcBorders>
            <w:shd w:val="clear" w:color="auto" w:fill="FF0000"/>
          </w:tcPr>
          <w:p w14:paraId="1013C004" w14:textId="53656AFC" w:rsidR="1880A041" w:rsidRDefault="1880A041" w:rsidP="1880A041">
            <w:pPr>
              <w:spacing w:after="0" w:line="240" w:lineRule="auto"/>
              <w:rPr>
                <w:rFonts w:ascii="Calibri" w:eastAsia="Calibri" w:hAnsi="Calibri" w:cs="Calibri"/>
                <w:color w:val="0D0D0D" w:themeColor="text1" w:themeTint="F2"/>
                <w:sz w:val="22"/>
                <w:szCs w:val="22"/>
              </w:rPr>
            </w:pPr>
            <w:r w:rsidRPr="1880A041">
              <w:rPr>
                <w:rFonts w:ascii="Calibri" w:eastAsia="Calibri" w:hAnsi="Calibri" w:cs="Calibri"/>
                <w:b/>
                <w:bCs/>
                <w:color w:val="0D0D0D" w:themeColor="text1" w:themeTint="F2"/>
                <w:sz w:val="22"/>
                <w:szCs w:val="22"/>
              </w:rPr>
              <w:t>44%</w:t>
            </w:r>
            <w:r w:rsidRPr="1880A041">
              <w:rPr>
                <w:rFonts w:ascii="Calibri" w:eastAsia="Calibri" w:hAnsi="Calibri" w:cs="Calibri"/>
                <w:color w:val="0D0D0D" w:themeColor="text1" w:themeTint="F2"/>
                <w:sz w:val="22"/>
                <w:szCs w:val="22"/>
              </w:rPr>
              <w:t> </w:t>
            </w:r>
          </w:p>
        </w:tc>
        <w:tc>
          <w:tcPr>
            <w:tcW w:w="1260" w:type="dxa"/>
            <w:tcBorders>
              <w:top w:val="single" w:sz="6" w:space="0" w:color="auto"/>
              <w:left w:val="single" w:sz="6" w:space="0" w:color="auto"/>
              <w:bottom w:val="single" w:sz="6" w:space="0" w:color="auto"/>
              <w:right w:val="single" w:sz="6" w:space="0" w:color="auto"/>
            </w:tcBorders>
            <w:shd w:val="clear" w:color="auto" w:fill="00B0F0"/>
          </w:tcPr>
          <w:p w14:paraId="77E3268F" w14:textId="735557DB" w:rsidR="1880A041" w:rsidRDefault="1880A041" w:rsidP="1880A041">
            <w:pPr>
              <w:spacing w:after="0" w:line="240" w:lineRule="auto"/>
              <w:rPr>
                <w:rFonts w:ascii="Calibri" w:eastAsia="Calibri" w:hAnsi="Calibri" w:cs="Calibri"/>
                <w:color w:val="0D0D0D" w:themeColor="text1" w:themeTint="F2"/>
                <w:sz w:val="22"/>
                <w:szCs w:val="22"/>
              </w:rPr>
            </w:pPr>
            <w:r w:rsidRPr="1880A041">
              <w:rPr>
                <w:rFonts w:ascii="Calibri" w:eastAsia="Calibri" w:hAnsi="Calibri" w:cs="Calibri"/>
                <w:b/>
                <w:bCs/>
                <w:color w:val="0D0D0D" w:themeColor="text1" w:themeTint="F2"/>
                <w:sz w:val="22"/>
                <w:szCs w:val="22"/>
              </w:rPr>
              <w:t>61%</w:t>
            </w:r>
            <w:r w:rsidRPr="1880A041">
              <w:rPr>
                <w:rFonts w:ascii="Calibri" w:eastAsia="Calibri" w:hAnsi="Calibri" w:cs="Calibri"/>
                <w:color w:val="0D0D0D" w:themeColor="text1" w:themeTint="F2"/>
                <w:sz w:val="22"/>
                <w:szCs w:val="22"/>
              </w:rPr>
              <w:t> </w:t>
            </w:r>
          </w:p>
        </w:tc>
        <w:tc>
          <w:tcPr>
            <w:tcW w:w="1290" w:type="dxa"/>
            <w:tcBorders>
              <w:top w:val="single" w:sz="6" w:space="0" w:color="auto"/>
              <w:left w:val="single" w:sz="6" w:space="0" w:color="auto"/>
              <w:bottom w:val="single" w:sz="6" w:space="0" w:color="auto"/>
              <w:right w:val="single" w:sz="6" w:space="0" w:color="auto"/>
            </w:tcBorders>
            <w:shd w:val="clear" w:color="auto" w:fill="FF0000"/>
          </w:tcPr>
          <w:p w14:paraId="48BF24EE" w14:textId="55C53BE0" w:rsidR="1880A041" w:rsidRDefault="1880A041" w:rsidP="1880A041">
            <w:pPr>
              <w:spacing w:after="0" w:line="240" w:lineRule="auto"/>
              <w:rPr>
                <w:rFonts w:ascii="Calibri" w:eastAsia="Calibri" w:hAnsi="Calibri" w:cs="Calibri"/>
                <w:color w:val="0D0D0D" w:themeColor="text1" w:themeTint="F2"/>
                <w:sz w:val="22"/>
                <w:szCs w:val="22"/>
              </w:rPr>
            </w:pPr>
            <w:r w:rsidRPr="1880A041">
              <w:rPr>
                <w:rFonts w:ascii="Calibri" w:eastAsia="Calibri" w:hAnsi="Calibri" w:cs="Calibri"/>
                <w:b/>
                <w:bCs/>
                <w:color w:val="0D0D0D" w:themeColor="text1" w:themeTint="F2"/>
                <w:sz w:val="22"/>
                <w:szCs w:val="22"/>
              </w:rPr>
              <w:t>36%</w:t>
            </w:r>
            <w:r w:rsidRPr="1880A041">
              <w:rPr>
                <w:rFonts w:ascii="Calibri" w:eastAsia="Calibri" w:hAnsi="Calibri" w:cs="Calibri"/>
                <w:color w:val="0D0D0D" w:themeColor="text1" w:themeTint="F2"/>
                <w:sz w:val="22"/>
                <w:szCs w:val="22"/>
              </w:rPr>
              <w:t> </w:t>
            </w:r>
          </w:p>
        </w:tc>
        <w:tc>
          <w:tcPr>
            <w:tcW w:w="1260" w:type="dxa"/>
            <w:tcBorders>
              <w:top w:val="single" w:sz="6" w:space="0" w:color="auto"/>
              <w:left w:val="single" w:sz="6" w:space="0" w:color="auto"/>
              <w:bottom w:val="single" w:sz="6" w:space="0" w:color="auto"/>
              <w:right w:val="single" w:sz="6" w:space="0" w:color="auto"/>
            </w:tcBorders>
            <w:shd w:val="clear" w:color="auto" w:fill="00B0F0"/>
          </w:tcPr>
          <w:p w14:paraId="11E421CC" w14:textId="0158FB1C" w:rsidR="1880A041" w:rsidRDefault="1880A041" w:rsidP="1880A041">
            <w:pPr>
              <w:spacing w:after="0" w:line="240" w:lineRule="auto"/>
              <w:rPr>
                <w:rFonts w:ascii="Calibri" w:eastAsia="Calibri" w:hAnsi="Calibri" w:cs="Calibri"/>
                <w:color w:val="0D0D0D" w:themeColor="text1" w:themeTint="F2"/>
                <w:sz w:val="22"/>
                <w:szCs w:val="22"/>
              </w:rPr>
            </w:pPr>
            <w:r w:rsidRPr="1880A041">
              <w:rPr>
                <w:rFonts w:ascii="Calibri" w:eastAsia="Calibri" w:hAnsi="Calibri" w:cs="Calibri"/>
                <w:b/>
                <w:bCs/>
                <w:color w:val="0D0D0D" w:themeColor="text1" w:themeTint="F2"/>
                <w:sz w:val="22"/>
                <w:szCs w:val="22"/>
              </w:rPr>
              <w:t>65%</w:t>
            </w:r>
            <w:r w:rsidRPr="1880A041">
              <w:rPr>
                <w:rFonts w:ascii="Calibri" w:eastAsia="Calibri" w:hAnsi="Calibri" w:cs="Calibri"/>
                <w:color w:val="0D0D0D" w:themeColor="text1" w:themeTint="F2"/>
                <w:sz w:val="22"/>
                <w:szCs w:val="22"/>
              </w:rPr>
              <w:t> </w:t>
            </w:r>
          </w:p>
        </w:tc>
        <w:tc>
          <w:tcPr>
            <w:tcW w:w="1290" w:type="dxa"/>
            <w:tcBorders>
              <w:top w:val="single" w:sz="6" w:space="0" w:color="auto"/>
              <w:left w:val="single" w:sz="6" w:space="0" w:color="auto"/>
              <w:bottom w:val="single" w:sz="6" w:space="0" w:color="auto"/>
              <w:right w:val="single" w:sz="6" w:space="0" w:color="auto"/>
            </w:tcBorders>
            <w:shd w:val="clear" w:color="auto" w:fill="FF0000"/>
          </w:tcPr>
          <w:p w14:paraId="448457AA" w14:textId="1CD20A63" w:rsidR="1880A041" w:rsidRDefault="1880A041" w:rsidP="1880A041">
            <w:pPr>
              <w:spacing w:after="0" w:line="240" w:lineRule="auto"/>
              <w:rPr>
                <w:rFonts w:ascii="Calibri" w:eastAsia="Calibri" w:hAnsi="Calibri" w:cs="Calibri"/>
                <w:color w:val="0D0D0D" w:themeColor="text1" w:themeTint="F2"/>
                <w:sz w:val="22"/>
                <w:szCs w:val="22"/>
              </w:rPr>
            </w:pPr>
            <w:r w:rsidRPr="1880A041">
              <w:rPr>
                <w:rFonts w:ascii="Calibri" w:eastAsia="Calibri" w:hAnsi="Calibri" w:cs="Calibri"/>
                <w:b/>
                <w:bCs/>
                <w:color w:val="0D0D0D" w:themeColor="text1" w:themeTint="F2"/>
                <w:sz w:val="22"/>
                <w:szCs w:val="22"/>
              </w:rPr>
              <w:t>40%</w:t>
            </w:r>
            <w:r w:rsidRPr="1880A041">
              <w:rPr>
                <w:rFonts w:ascii="Calibri" w:eastAsia="Calibri" w:hAnsi="Calibri" w:cs="Calibri"/>
                <w:color w:val="0D0D0D" w:themeColor="text1" w:themeTint="F2"/>
                <w:sz w:val="22"/>
                <w:szCs w:val="22"/>
              </w:rPr>
              <w:t> </w:t>
            </w:r>
          </w:p>
        </w:tc>
      </w:tr>
      <w:tr w:rsidR="1880A041" w14:paraId="41B13173" w14:textId="77777777" w:rsidTr="1880A041">
        <w:trPr>
          <w:trHeight w:val="300"/>
        </w:trPr>
        <w:tc>
          <w:tcPr>
            <w:tcW w:w="1260" w:type="dxa"/>
            <w:tcBorders>
              <w:top w:val="single" w:sz="6" w:space="0" w:color="auto"/>
              <w:left w:val="single" w:sz="6" w:space="0" w:color="auto"/>
              <w:bottom w:val="single" w:sz="6" w:space="0" w:color="auto"/>
              <w:right w:val="single" w:sz="6" w:space="0" w:color="auto"/>
            </w:tcBorders>
            <w:shd w:val="clear" w:color="auto" w:fill="00B0F0"/>
          </w:tcPr>
          <w:p w14:paraId="60B761F8" w14:textId="66841FAF" w:rsidR="1880A041" w:rsidRDefault="1880A041" w:rsidP="1880A041">
            <w:pPr>
              <w:spacing w:after="0" w:line="240" w:lineRule="auto"/>
              <w:rPr>
                <w:rFonts w:ascii="Calibri" w:eastAsia="Calibri" w:hAnsi="Calibri" w:cs="Calibri"/>
                <w:color w:val="0D0D0D" w:themeColor="text1" w:themeTint="F2"/>
                <w:sz w:val="22"/>
                <w:szCs w:val="22"/>
              </w:rPr>
            </w:pPr>
            <w:r w:rsidRPr="1880A041">
              <w:rPr>
                <w:rFonts w:ascii="Calibri" w:eastAsia="Calibri" w:hAnsi="Calibri" w:cs="Calibri"/>
                <w:b/>
                <w:bCs/>
                <w:color w:val="0D0D0D" w:themeColor="text1" w:themeTint="F2"/>
                <w:sz w:val="22"/>
                <w:szCs w:val="22"/>
              </w:rPr>
              <w:t>Y3</w:t>
            </w:r>
            <w:r w:rsidRPr="1880A041">
              <w:rPr>
                <w:rFonts w:ascii="Calibri" w:eastAsia="Calibri" w:hAnsi="Calibri" w:cs="Calibri"/>
                <w:color w:val="0D0D0D" w:themeColor="text1" w:themeTint="F2"/>
                <w:sz w:val="22"/>
                <w:szCs w:val="22"/>
              </w:rPr>
              <w:t> </w:t>
            </w:r>
          </w:p>
        </w:tc>
        <w:tc>
          <w:tcPr>
            <w:tcW w:w="1260" w:type="dxa"/>
            <w:tcBorders>
              <w:top w:val="single" w:sz="6" w:space="0" w:color="auto"/>
              <w:left w:val="single" w:sz="6" w:space="0" w:color="auto"/>
              <w:bottom w:val="single" w:sz="6" w:space="0" w:color="auto"/>
              <w:right w:val="single" w:sz="6" w:space="0" w:color="auto"/>
            </w:tcBorders>
            <w:shd w:val="clear" w:color="auto" w:fill="00B0F0"/>
          </w:tcPr>
          <w:p w14:paraId="20DA6271" w14:textId="2D7333B6" w:rsidR="1880A041" w:rsidRDefault="1880A041" w:rsidP="1880A041">
            <w:pPr>
              <w:spacing w:after="0" w:line="240" w:lineRule="auto"/>
              <w:rPr>
                <w:rFonts w:ascii="Calibri" w:eastAsia="Calibri" w:hAnsi="Calibri" w:cs="Calibri"/>
                <w:color w:val="0D0D0D" w:themeColor="text1" w:themeTint="F2"/>
                <w:sz w:val="22"/>
                <w:szCs w:val="22"/>
              </w:rPr>
            </w:pPr>
            <w:r w:rsidRPr="1880A041">
              <w:rPr>
                <w:rFonts w:ascii="Calibri" w:eastAsia="Calibri" w:hAnsi="Calibri" w:cs="Calibri"/>
                <w:b/>
                <w:bCs/>
                <w:color w:val="0D0D0D" w:themeColor="text1" w:themeTint="F2"/>
                <w:sz w:val="22"/>
                <w:szCs w:val="22"/>
              </w:rPr>
              <w:t>60%</w:t>
            </w:r>
            <w:r w:rsidRPr="1880A041">
              <w:rPr>
                <w:rFonts w:ascii="Calibri" w:eastAsia="Calibri" w:hAnsi="Calibri" w:cs="Calibri"/>
                <w:color w:val="0D0D0D" w:themeColor="text1" w:themeTint="F2"/>
                <w:sz w:val="22"/>
                <w:szCs w:val="22"/>
              </w:rPr>
              <w:t> </w:t>
            </w:r>
          </w:p>
        </w:tc>
        <w:tc>
          <w:tcPr>
            <w:tcW w:w="1290" w:type="dxa"/>
            <w:tcBorders>
              <w:top w:val="single" w:sz="6" w:space="0" w:color="auto"/>
              <w:left w:val="single" w:sz="6" w:space="0" w:color="auto"/>
              <w:bottom w:val="single" w:sz="6" w:space="0" w:color="auto"/>
              <w:right w:val="single" w:sz="6" w:space="0" w:color="auto"/>
            </w:tcBorders>
            <w:shd w:val="clear" w:color="auto" w:fill="FF0000"/>
          </w:tcPr>
          <w:p w14:paraId="49B02435" w14:textId="53EC867E" w:rsidR="1880A041" w:rsidRDefault="1880A041" w:rsidP="1880A041">
            <w:pPr>
              <w:spacing w:after="0" w:line="240" w:lineRule="auto"/>
              <w:rPr>
                <w:rFonts w:ascii="Calibri" w:eastAsia="Calibri" w:hAnsi="Calibri" w:cs="Calibri"/>
                <w:color w:val="0D0D0D" w:themeColor="text1" w:themeTint="F2"/>
                <w:sz w:val="22"/>
                <w:szCs w:val="22"/>
              </w:rPr>
            </w:pPr>
            <w:r w:rsidRPr="1880A041">
              <w:rPr>
                <w:rFonts w:ascii="Calibri" w:eastAsia="Calibri" w:hAnsi="Calibri" w:cs="Calibri"/>
                <w:b/>
                <w:bCs/>
                <w:color w:val="0D0D0D" w:themeColor="text1" w:themeTint="F2"/>
                <w:sz w:val="22"/>
                <w:szCs w:val="22"/>
              </w:rPr>
              <w:t>39%</w:t>
            </w:r>
            <w:r w:rsidRPr="1880A041">
              <w:rPr>
                <w:rFonts w:ascii="Calibri" w:eastAsia="Calibri" w:hAnsi="Calibri" w:cs="Calibri"/>
                <w:color w:val="0D0D0D" w:themeColor="text1" w:themeTint="F2"/>
                <w:sz w:val="22"/>
                <w:szCs w:val="22"/>
              </w:rPr>
              <w:t> </w:t>
            </w:r>
          </w:p>
        </w:tc>
        <w:tc>
          <w:tcPr>
            <w:tcW w:w="1260" w:type="dxa"/>
            <w:tcBorders>
              <w:top w:val="single" w:sz="6" w:space="0" w:color="auto"/>
              <w:left w:val="single" w:sz="6" w:space="0" w:color="auto"/>
              <w:bottom w:val="single" w:sz="6" w:space="0" w:color="auto"/>
              <w:right w:val="single" w:sz="6" w:space="0" w:color="auto"/>
            </w:tcBorders>
            <w:shd w:val="clear" w:color="auto" w:fill="00B0F0"/>
          </w:tcPr>
          <w:p w14:paraId="1B09CEAB" w14:textId="15F1AD84" w:rsidR="1880A041" w:rsidRDefault="1880A041" w:rsidP="1880A041">
            <w:pPr>
              <w:spacing w:after="0" w:line="240" w:lineRule="auto"/>
              <w:rPr>
                <w:rFonts w:ascii="Calibri" w:eastAsia="Calibri" w:hAnsi="Calibri" w:cs="Calibri"/>
                <w:color w:val="0D0D0D" w:themeColor="text1" w:themeTint="F2"/>
                <w:sz w:val="22"/>
                <w:szCs w:val="22"/>
              </w:rPr>
            </w:pPr>
            <w:r w:rsidRPr="1880A041">
              <w:rPr>
                <w:rFonts w:ascii="Calibri" w:eastAsia="Calibri" w:hAnsi="Calibri" w:cs="Calibri"/>
                <w:b/>
                <w:bCs/>
                <w:color w:val="0D0D0D" w:themeColor="text1" w:themeTint="F2"/>
                <w:sz w:val="22"/>
                <w:szCs w:val="22"/>
              </w:rPr>
              <w:t>47%</w:t>
            </w:r>
            <w:r w:rsidRPr="1880A041">
              <w:rPr>
                <w:rFonts w:ascii="Calibri" w:eastAsia="Calibri" w:hAnsi="Calibri" w:cs="Calibri"/>
                <w:color w:val="0D0D0D" w:themeColor="text1" w:themeTint="F2"/>
                <w:sz w:val="22"/>
                <w:szCs w:val="22"/>
              </w:rPr>
              <w:t> </w:t>
            </w:r>
          </w:p>
        </w:tc>
        <w:tc>
          <w:tcPr>
            <w:tcW w:w="1290" w:type="dxa"/>
            <w:tcBorders>
              <w:top w:val="single" w:sz="6" w:space="0" w:color="auto"/>
              <w:left w:val="single" w:sz="6" w:space="0" w:color="auto"/>
              <w:bottom w:val="single" w:sz="6" w:space="0" w:color="auto"/>
              <w:right w:val="single" w:sz="6" w:space="0" w:color="auto"/>
            </w:tcBorders>
            <w:shd w:val="clear" w:color="auto" w:fill="FF0000"/>
          </w:tcPr>
          <w:p w14:paraId="707C844B" w14:textId="4C98A3C9" w:rsidR="1880A041" w:rsidRDefault="1880A041" w:rsidP="1880A041">
            <w:pPr>
              <w:spacing w:after="0" w:line="240" w:lineRule="auto"/>
              <w:rPr>
                <w:rFonts w:ascii="Calibri" w:eastAsia="Calibri" w:hAnsi="Calibri" w:cs="Calibri"/>
                <w:color w:val="0D0D0D" w:themeColor="text1" w:themeTint="F2"/>
                <w:sz w:val="22"/>
                <w:szCs w:val="22"/>
              </w:rPr>
            </w:pPr>
            <w:r w:rsidRPr="1880A041">
              <w:rPr>
                <w:rFonts w:ascii="Calibri" w:eastAsia="Calibri" w:hAnsi="Calibri" w:cs="Calibri"/>
                <w:b/>
                <w:bCs/>
                <w:color w:val="0D0D0D" w:themeColor="text1" w:themeTint="F2"/>
                <w:sz w:val="22"/>
                <w:szCs w:val="22"/>
              </w:rPr>
              <w:t>39%</w:t>
            </w:r>
            <w:r w:rsidRPr="1880A041">
              <w:rPr>
                <w:rFonts w:ascii="Calibri" w:eastAsia="Calibri" w:hAnsi="Calibri" w:cs="Calibri"/>
                <w:color w:val="0D0D0D" w:themeColor="text1" w:themeTint="F2"/>
                <w:sz w:val="22"/>
                <w:szCs w:val="22"/>
              </w:rPr>
              <w:t> </w:t>
            </w:r>
          </w:p>
        </w:tc>
        <w:tc>
          <w:tcPr>
            <w:tcW w:w="1260" w:type="dxa"/>
            <w:tcBorders>
              <w:top w:val="single" w:sz="6" w:space="0" w:color="auto"/>
              <w:left w:val="single" w:sz="6" w:space="0" w:color="auto"/>
              <w:bottom w:val="single" w:sz="6" w:space="0" w:color="auto"/>
              <w:right w:val="single" w:sz="6" w:space="0" w:color="auto"/>
            </w:tcBorders>
            <w:shd w:val="clear" w:color="auto" w:fill="FF0000"/>
          </w:tcPr>
          <w:p w14:paraId="526C9CB9" w14:textId="041C802D" w:rsidR="1880A041" w:rsidRDefault="1880A041" w:rsidP="1880A041">
            <w:pPr>
              <w:spacing w:after="0" w:line="240" w:lineRule="auto"/>
              <w:rPr>
                <w:rFonts w:ascii="Calibri" w:eastAsia="Calibri" w:hAnsi="Calibri" w:cs="Calibri"/>
                <w:color w:val="0D0D0D" w:themeColor="text1" w:themeTint="F2"/>
                <w:sz w:val="22"/>
                <w:szCs w:val="22"/>
              </w:rPr>
            </w:pPr>
            <w:r w:rsidRPr="1880A041">
              <w:rPr>
                <w:rFonts w:ascii="Calibri" w:eastAsia="Calibri" w:hAnsi="Calibri" w:cs="Calibri"/>
                <w:b/>
                <w:bCs/>
                <w:color w:val="0D0D0D" w:themeColor="text1" w:themeTint="F2"/>
                <w:sz w:val="22"/>
                <w:szCs w:val="22"/>
              </w:rPr>
              <w:t>70%</w:t>
            </w:r>
            <w:r w:rsidRPr="1880A041">
              <w:rPr>
                <w:rFonts w:ascii="Calibri" w:eastAsia="Calibri" w:hAnsi="Calibri" w:cs="Calibri"/>
                <w:color w:val="0D0D0D" w:themeColor="text1" w:themeTint="F2"/>
                <w:sz w:val="22"/>
                <w:szCs w:val="22"/>
              </w:rPr>
              <w:t> </w:t>
            </w:r>
          </w:p>
        </w:tc>
        <w:tc>
          <w:tcPr>
            <w:tcW w:w="1290" w:type="dxa"/>
            <w:tcBorders>
              <w:top w:val="single" w:sz="6" w:space="0" w:color="auto"/>
              <w:left w:val="single" w:sz="6" w:space="0" w:color="auto"/>
              <w:bottom w:val="single" w:sz="6" w:space="0" w:color="auto"/>
              <w:right w:val="single" w:sz="6" w:space="0" w:color="auto"/>
            </w:tcBorders>
            <w:shd w:val="clear" w:color="auto" w:fill="00B0F0"/>
          </w:tcPr>
          <w:p w14:paraId="614979DF" w14:textId="75E5F69B" w:rsidR="1880A041" w:rsidRDefault="1880A041" w:rsidP="1880A041">
            <w:pPr>
              <w:spacing w:after="0" w:line="240" w:lineRule="auto"/>
              <w:rPr>
                <w:rFonts w:ascii="Calibri" w:eastAsia="Calibri" w:hAnsi="Calibri" w:cs="Calibri"/>
                <w:color w:val="0D0D0D" w:themeColor="text1" w:themeTint="F2"/>
                <w:sz w:val="22"/>
                <w:szCs w:val="22"/>
              </w:rPr>
            </w:pPr>
            <w:r w:rsidRPr="1880A041">
              <w:rPr>
                <w:rFonts w:ascii="Calibri" w:eastAsia="Calibri" w:hAnsi="Calibri" w:cs="Calibri"/>
                <w:b/>
                <w:bCs/>
                <w:color w:val="0D0D0D" w:themeColor="text1" w:themeTint="F2"/>
                <w:sz w:val="22"/>
                <w:szCs w:val="22"/>
              </w:rPr>
              <w:t>72%</w:t>
            </w:r>
            <w:r w:rsidRPr="1880A041">
              <w:rPr>
                <w:rFonts w:ascii="Calibri" w:eastAsia="Calibri" w:hAnsi="Calibri" w:cs="Calibri"/>
                <w:color w:val="0D0D0D" w:themeColor="text1" w:themeTint="F2"/>
                <w:sz w:val="22"/>
                <w:szCs w:val="22"/>
              </w:rPr>
              <w:t> </w:t>
            </w:r>
          </w:p>
        </w:tc>
      </w:tr>
      <w:tr w:rsidR="1880A041" w14:paraId="162865C5" w14:textId="77777777" w:rsidTr="1880A041">
        <w:trPr>
          <w:trHeight w:val="300"/>
        </w:trPr>
        <w:tc>
          <w:tcPr>
            <w:tcW w:w="1260" w:type="dxa"/>
            <w:tcBorders>
              <w:top w:val="single" w:sz="6" w:space="0" w:color="auto"/>
              <w:left w:val="single" w:sz="6" w:space="0" w:color="auto"/>
              <w:bottom w:val="single" w:sz="6" w:space="0" w:color="auto"/>
              <w:right w:val="single" w:sz="6" w:space="0" w:color="auto"/>
            </w:tcBorders>
            <w:shd w:val="clear" w:color="auto" w:fill="FFC000"/>
          </w:tcPr>
          <w:p w14:paraId="096B821C" w14:textId="5DB2A8DD" w:rsidR="1880A041" w:rsidRDefault="1880A041" w:rsidP="1880A041">
            <w:pPr>
              <w:spacing w:after="0" w:line="240" w:lineRule="auto"/>
              <w:rPr>
                <w:rFonts w:ascii="Calibri" w:eastAsia="Calibri" w:hAnsi="Calibri" w:cs="Calibri"/>
                <w:color w:val="0D0D0D" w:themeColor="text1" w:themeTint="F2"/>
                <w:sz w:val="22"/>
                <w:szCs w:val="22"/>
              </w:rPr>
            </w:pPr>
            <w:r w:rsidRPr="1880A041">
              <w:rPr>
                <w:rFonts w:ascii="Calibri" w:eastAsia="Calibri" w:hAnsi="Calibri" w:cs="Calibri"/>
                <w:b/>
                <w:bCs/>
                <w:color w:val="0D0D0D" w:themeColor="text1" w:themeTint="F2"/>
                <w:sz w:val="22"/>
                <w:szCs w:val="22"/>
              </w:rPr>
              <w:t>Y4</w:t>
            </w:r>
            <w:r w:rsidRPr="1880A041">
              <w:rPr>
                <w:rFonts w:ascii="Calibri" w:eastAsia="Calibri" w:hAnsi="Calibri" w:cs="Calibri"/>
                <w:color w:val="0D0D0D" w:themeColor="text1" w:themeTint="F2"/>
                <w:sz w:val="22"/>
                <w:szCs w:val="22"/>
              </w:rPr>
              <w:t> </w:t>
            </w:r>
          </w:p>
        </w:tc>
        <w:tc>
          <w:tcPr>
            <w:tcW w:w="1260" w:type="dxa"/>
            <w:tcBorders>
              <w:top w:val="single" w:sz="6" w:space="0" w:color="auto"/>
              <w:left w:val="single" w:sz="6" w:space="0" w:color="auto"/>
              <w:bottom w:val="single" w:sz="6" w:space="0" w:color="auto"/>
              <w:right w:val="single" w:sz="6" w:space="0" w:color="auto"/>
            </w:tcBorders>
            <w:shd w:val="clear" w:color="auto" w:fill="FF0000"/>
          </w:tcPr>
          <w:p w14:paraId="3688A730" w14:textId="48E5C080" w:rsidR="1880A041" w:rsidRDefault="1880A041" w:rsidP="1880A041">
            <w:pPr>
              <w:spacing w:after="0" w:line="240" w:lineRule="auto"/>
              <w:rPr>
                <w:rFonts w:ascii="Calibri" w:eastAsia="Calibri" w:hAnsi="Calibri" w:cs="Calibri"/>
                <w:color w:val="0D0D0D" w:themeColor="text1" w:themeTint="F2"/>
                <w:sz w:val="22"/>
                <w:szCs w:val="22"/>
              </w:rPr>
            </w:pPr>
            <w:r w:rsidRPr="1880A041">
              <w:rPr>
                <w:rFonts w:ascii="Calibri" w:eastAsia="Calibri" w:hAnsi="Calibri" w:cs="Calibri"/>
                <w:b/>
                <w:bCs/>
                <w:color w:val="0D0D0D" w:themeColor="text1" w:themeTint="F2"/>
                <w:sz w:val="22"/>
                <w:szCs w:val="22"/>
              </w:rPr>
              <w:t>59%</w:t>
            </w:r>
            <w:r w:rsidRPr="1880A041">
              <w:rPr>
                <w:rFonts w:ascii="Calibri" w:eastAsia="Calibri" w:hAnsi="Calibri" w:cs="Calibri"/>
                <w:color w:val="0D0D0D" w:themeColor="text1" w:themeTint="F2"/>
                <w:sz w:val="22"/>
                <w:szCs w:val="22"/>
              </w:rPr>
              <w:t> </w:t>
            </w:r>
          </w:p>
        </w:tc>
        <w:tc>
          <w:tcPr>
            <w:tcW w:w="1290" w:type="dxa"/>
            <w:tcBorders>
              <w:top w:val="single" w:sz="6" w:space="0" w:color="auto"/>
              <w:left w:val="single" w:sz="6" w:space="0" w:color="auto"/>
              <w:bottom w:val="single" w:sz="6" w:space="0" w:color="auto"/>
              <w:right w:val="single" w:sz="6" w:space="0" w:color="auto"/>
            </w:tcBorders>
            <w:shd w:val="clear" w:color="auto" w:fill="00B0F0"/>
          </w:tcPr>
          <w:p w14:paraId="6FBE1915" w14:textId="647B0BAB" w:rsidR="1880A041" w:rsidRDefault="1880A041" w:rsidP="1880A041">
            <w:pPr>
              <w:spacing w:after="0" w:line="240" w:lineRule="auto"/>
              <w:rPr>
                <w:rFonts w:ascii="Calibri" w:eastAsia="Calibri" w:hAnsi="Calibri" w:cs="Calibri"/>
                <w:color w:val="0D0D0D" w:themeColor="text1" w:themeTint="F2"/>
                <w:sz w:val="22"/>
                <w:szCs w:val="22"/>
              </w:rPr>
            </w:pPr>
            <w:r w:rsidRPr="1880A041">
              <w:rPr>
                <w:rFonts w:ascii="Calibri" w:eastAsia="Calibri" w:hAnsi="Calibri" w:cs="Calibri"/>
                <w:b/>
                <w:bCs/>
                <w:color w:val="0D0D0D" w:themeColor="text1" w:themeTint="F2"/>
                <w:sz w:val="22"/>
                <w:szCs w:val="22"/>
              </w:rPr>
              <w:t>75%</w:t>
            </w:r>
            <w:r w:rsidRPr="1880A041">
              <w:rPr>
                <w:rFonts w:ascii="Calibri" w:eastAsia="Calibri" w:hAnsi="Calibri" w:cs="Calibri"/>
                <w:color w:val="0D0D0D" w:themeColor="text1" w:themeTint="F2"/>
                <w:sz w:val="22"/>
                <w:szCs w:val="22"/>
              </w:rPr>
              <w:t> </w:t>
            </w:r>
          </w:p>
        </w:tc>
        <w:tc>
          <w:tcPr>
            <w:tcW w:w="1260" w:type="dxa"/>
            <w:tcBorders>
              <w:top w:val="single" w:sz="6" w:space="0" w:color="auto"/>
              <w:left w:val="single" w:sz="6" w:space="0" w:color="auto"/>
              <w:bottom w:val="single" w:sz="6" w:space="0" w:color="auto"/>
              <w:right w:val="single" w:sz="6" w:space="0" w:color="auto"/>
            </w:tcBorders>
            <w:shd w:val="clear" w:color="auto" w:fill="FF0000"/>
          </w:tcPr>
          <w:p w14:paraId="57A38AE5" w14:textId="088B655A" w:rsidR="1880A041" w:rsidRDefault="1880A041" w:rsidP="1880A041">
            <w:pPr>
              <w:spacing w:after="0" w:line="240" w:lineRule="auto"/>
              <w:rPr>
                <w:rFonts w:ascii="Calibri" w:eastAsia="Calibri" w:hAnsi="Calibri" w:cs="Calibri"/>
                <w:color w:val="0D0D0D" w:themeColor="text1" w:themeTint="F2"/>
                <w:sz w:val="22"/>
                <w:szCs w:val="22"/>
              </w:rPr>
            </w:pPr>
            <w:r w:rsidRPr="1880A041">
              <w:rPr>
                <w:rFonts w:ascii="Calibri" w:eastAsia="Calibri" w:hAnsi="Calibri" w:cs="Calibri"/>
                <w:b/>
                <w:bCs/>
                <w:color w:val="0D0D0D" w:themeColor="text1" w:themeTint="F2"/>
                <w:sz w:val="22"/>
                <w:szCs w:val="22"/>
              </w:rPr>
              <w:t>41%</w:t>
            </w:r>
            <w:r w:rsidRPr="1880A041">
              <w:rPr>
                <w:rFonts w:ascii="Calibri" w:eastAsia="Calibri" w:hAnsi="Calibri" w:cs="Calibri"/>
                <w:color w:val="0D0D0D" w:themeColor="text1" w:themeTint="F2"/>
                <w:sz w:val="22"/>
                <w:szCs w:val="22"/>
              </w:rPr>
              <w:t> </w:t>
            </w:r>
          </w:p>
        </w:tc>
        <w:tc>
          <w:tcPr>
            <w:tcW w:w="1290" w:type="dxa"/>
            <w:tcBorders>
              <w:top w:val="single" w:sz="6" w:space="0" w:color="auto"/>
              <w:left w:val="single" w:sz="6" w:space="0" w:color="auto"/>
              <w:bottom w:val="single" w:sz="6" w:space="0" w:color="auto"/>
              <w:right w:val="single" w:sz="6" w:space="0" w:color="auto"/>
            </w:tcBorders>
            <w:shd w:val="clear" w:color="auto" w:fill="00B0F0"/>
          </w:tcPr>
          <w:p w14:paraId="577045D1" w14:textId="56923403" w:rsidR="1880A041" w:rsidRDefault="1880A041" w:rsidP="1880A041">
            <w:pPr>
              <w:spacing w:after="0" w:line="240" w:lineRule="auto"/>
              <w:rPr>
                <w:rFonts w:ascii="Calibri" w:eastAsia="Calibri" w:hAnsi="Calibri" w:cs="Calibri"/>
                <w:color w:val="0D0D0D" w:themeColor="text1" w:themeTint="F2"/>
                <w:sz w:val="22"/>
                <w:szCs w:val="22"/>
              </w:rPr>
            </w:pPr>
            <w:r w:rsidRPr="1880A041">
              <w:rPr>
                <w:rFonts w:ascii="Calibri" w:eastAsia="Calibri" w:hAnsi="Calibri" w:cs="Calibri"/>
                <w:b/>
                <w:bCs/>
                <w:color w:val="0D0D0D" w:themeColor="text1" w:themeTint="F2"/>
                <w:sz w:val="22"/>
                <w:szCs w:val="22"/>
              </w:rPr>
              <w:t>60%</w:t>
            </w:r>
            <w:r w:rsidRPr="1880A041">
              <w:rPr>
                <w:rFonts w:ascii="Calibri" w:eastAsia="Calibri" w:hAnsi="Calibri" w:cs="Calibri"/>
                <w:color w:val="0D0D0D" w:themeColor="text1" w:themeTint="F2"/>
                <w:sz w:val="22"/>
                <w:szCs w:val="22"/>
              </w:rPr>
              <w:t> </w:t>
            </w:r>
          </w:p>
        </w:tc>
        <w:tc>
          <w:tcPr>
            <w:tcW w:w="1260" w:type="dxa"/>
            <w:tcBorders>
              <w:top w:val="single" w:sz="6" w:space="0" w:color="auto"/>
              <w:left w:val="single" w:sz="6" w:space="0" w:color="auto"/>
              <w:bottom w:val="single" w:sz="6" w:space="0" w:color="auto"/>
              <w:right w:val="single" w:sz="6" w:space="0" w:color="auto"/>
            </w:tcBorders>
            <w:shd w:val="clear" w:color="auto" w:fill="FF0000"/>
          </w:tcPr>
          <w:p w14:paraId="084BF0E8" w14:textId="7D6D6680" w:rsidR="1880A041" w:rsidRDefault="1880A041" w:rsidP="1880A041">
            <w:pPr>
              <w:spacing w:after="0" w:line="240" w:lineRule="auto"/>
              <w:rPr>
                <w:rFonts w:ascii="Calibri" w:eastAsia="Calibri" w:hAnsi="Calibri" w:cs="Calibri"/>
                <w:color w:val="0D0D0D" w:themeColor="text1" w:themeTint="F2"/>
                <w:sz w:val="22"/>
                <w:szCs w:val="22"/>
              </w:rPr>
            </w:pPr>
            <w:r w:rsidRPr="1880A041">
              <w:rPr>
                <w:rFonts w:ascii="Calibri" w:eastAsia="Calibri" w:hAnsi="Calibri" w:cs="Calibri"/>
                <w:b/>
                <w:bCs/>
                <w:color w:val="0D0D0D" w:themeColor="text1" w:themeTint="F2"/>
                <w:sz w:val="22"/>
                <w:szCs w:val="22"/>
              </w:rPr>
              <w:t>66%</w:t>
            </w:r>
            <w:r w:rsidRPr="1880A041">
              <w:rPr>
                <w:rFonts w:ascii="Calibri" w:eastAsia="Calibri" w:hAnsi="Calibri" w:cs="Calibri"/>
                <w:color w:val="0D0D0D" w:themeColor="text1" w:themeTint="F2"/>
                <w:sz w:val="22"/>
                <w:szCs w:val="22"/>
              </w:rPr>
              <w:t> </w:t>
            </w:r>
          </w:p>
        </w:tc>
        <w:tc>
          <w:tcPr>
            <w:tcW w:w="1290" w:type="dxa"/>
            <w:tcBorders>
              <w:top w:val="single" w:sz="6" w:space="0" w:color="auto"/>
              <w:left w:val="single" w:sz="6" w:space="0" w:color="auto"/>
              <w:bottom w:val="single" w:sz="6" w:space="0" w:color="auto"/>
              <w:right w:val="single" w:sz="6" w:space="0" w:color="auto"/>
            </w:tcBorders>
            <w:shd w:val="clear" w:color="auto" w:fill="00B0F0"/>
          </w:tcPr>
          <w:p w14:paraId="183DD40D" w14:textId="1D64C8B9" w:rsidR="1880A041" w:rsidRDefault="1880A041" w:rsidP="1880A041">
            <w:pPr>
              <w:spacing w:after="0" w:line="240" w:lineRule="auto"/>
              <w:rPr>
                <w:rFonts w:ascii="Calibri" w:eastAsia="Calibri" w:hAnsi="Calibri" w:cs="Calibri"/>
                <w:color w:val="0D0D0D" w:themeColor="text1" w:themeTint="F2"/>
                <w:sz w:val="22"/>
                <w:szCs w:val="22"/>
              </w:rPr>
            </w:pPr>
            <w:r w:rsidRPr="1880A041">
              <w:rPr>
                <w:rFonts w:ascii="Calibri" w:eastAsia="Calibri" w:hAnsi="Calibri" w:cs="Calibri"/>
                <w:b/>
                <w:bCs/>
                <w:color w:val="0D0D0D" w:themeColor="text1" w:themeTint="F2"/>
                <w:sz w:val="22"/>
                <w:szCs w:val="22"/>
              </w:rPr>
              <w:t>85%</w:t>
            </w:r>
            <w:r w:rsidRPr="1880A041">
              <w:rPr>
                <w:rFonts w:ascii="Calibri" w:eastAsia="Calibri" w:hAnsi="Calibri" w:cs="Calibri"/>
                <w:color w:val="0D0D0D" w:themeColor="text1" w:themeTint="F2"/>
                <w:sz w:val="22"/>
                <w:szCs w:val="22"/>
              </w:rPr>
              <w:t> </w:t>
            </w:r>
          </w:p>
        </w:tc>
      </w:tr>
      <w:tr w:rsidR="1880A041" w14:paraId="54468108" w14:textId="77777777" w:rsidTr="1880A041">
        <w:trPr>
          <w:trHeight w:val="60"/>
        </w:trPr>
        <w:tc>
          <w:tcPr>
            <w:tcW w:w="1260" w:type="dxa"/>
            <w:tcBorders>
              <w:top w:val="single" w:sz="6" w:space="0" w:color="auto"/>
              <w:left w:val="single" w:sz="6" w:space="0" w:color="auto"/>
              <w:bottom w:val="single" w:sz="6" w:space="0" w:color="auto"/>
              <w:right w:val="single" w:sz="6" w:space="0" w:color="auto"/>
            </w:tcBorders>
            <w:shd w:val="clear" w:color="auto" w:fill="FFFF00"/>
          </w:tcPr>
          <w:p w14:paraId="0A0B25DC" w14:textId="1BE8BFD4" w:rsidR="1880A041" w:rsidRDefault="1880A041" w:rsidP="1880A041">
            <w:pPr>
              <w:spacing w:after="0" w:line="240" w:lineRule="auto"/>
              <w:rPr>
                <w:rFonts w:ascii="Calibri" w:eastAsia="Calibri" w:hAnsi="Calibri" w:cs="Calibri"/>
                <w:color w:val="0D0D0D" w:themeColor="text1" w:themeTint="F2"/>
                <w:sz w:val="22"/>
                <w:szCs w:val="22"/>
              </w:rPr>
            </w:pPr>
            <w:r w:rsidRPr="1880A041">
              <w:rPr>
                <w:rFonts w:ascii="Calibri" w:eastAsia="Calibri" w:hAnsi="Calibri" w:cs="Calibri"/>
                <w:b/>
                <w:bCs/>
                <w:color w:val="0D0D0D" w:themeColor="text1" w:themeTint="F2"/>
                <w:sz w:val="22"/>
                <w:szCs w:val="22"/>
              </w:rPr>
              <w:t>Y5</w:t>
            </w:r>
            <w:r w:rsidRPr="1880A041">
              <w:rPr>
                <w:rFonts w:ascii="Calibri" w:eastAsia="Calibri" w:hAnsi="Calibri" w:cs="Calibri"/>
                <w:color w:val="0D0D0D" w:themeColor="text1" w:themeTint="F2"/>
                <w:sz w:val="22"/>
                <w:szCs w:val="22"/>
              </w:rPr>
              <w:t> </w:t>
            </w:r>
          </w:p>
        </w:tc>
        <w:tc>
          <w:tcPr>
            <w:tcW w:w="1260" w:type="dxa"/>
            <w:tcBorders>
              <w:top w:val="single" w:sz="6" w:space="0" w:color="auto"/>
              <w:left w:val="single" w:sz="6" w:space="0" w:color="auto"/>
              <w:bottom w:val="single" w:sz="6" w:space="0" w:color="auto"/>
              <w:right w:val="single" w:sz="6" w:space="0" w:color="auto"/>
            </w:tcBorders>
            <w:shd w:val="clear" w:color="auto" w:fill="00B0F0"/>
          </w:tcPr>
          <w:p w14:paraId="28308D65" w14:textId="0905DE50" w:rsidR="1880A041" w:rsidRDefault="1880A041" w:rsidP="1880A041">
            <w:pPr>
              <w:spacing w:after="0" w:line="240" w:lineRule="auto"/>
              <w:rPr>
                <w:rFonts w:ascii="Calibri" w:eastAsia="Calibri" w:hAnsi="Calibri" w:cs="Calibri"/>
                <w:color w:val="0D0D0D" w:themeColor="text1" w:themeTint="F2"/>
                <w:sz w:val="22"/>
                <w:szCs w:val="22"/>
              </w:rPr>
            </w:pPr>
            <w:r w:rsidRPr="1880A041">
              <w:rPr>
                <w:rFonts w:ascii="Calibri" w:eastAsia="Calibri" w:hAnsi="Calibri" w:cs="Calibri"/>
                <w:b/>
                <w:bCs/>
                <w:color w:val="0D0D0D" w:themeColor="text1" w:themeTint="F2"/>
                <w:sz w:val="22"/>
                <w:szCs w:val="22"/>
              </w:rPr>
              <w:t>72%</w:t>
            </w:r>
            <w:r w:rsidRPr="1880A041">
              <w:rPr>
                <w:rFonts w:ascii="Calibri" w:eastAsia="Calibri" w:hAnsi="Calibri" w:cs="Calibri"/>
                <w:color w:val="0D0D0D" w:themeColor="text1" w:themeTint="F2"/>
                <w:sz w:val="22"/>
                <w:szCs w:val="22"/>
              </w:rPr>
              <w:t> </w:t>
            </w:r>
          </w:p>
        </w:tc>
        <w:tc>
          <w:tcPr>
            <w:tcW w:w="1290" w:type="dxa"/>
            <w:tcBorders>
              <w:top w:val="single" w:sz="6" w:space="0" w:color="auto"/>
              <w:left w:val="single" w:sz="6" w:space="0" w:color="auto"/>
              <w:bottom w:val="single" w:sz="6" w:space="0" w:color="auto"/>
              <w:right w:val="single" w:sz="6" w:space="0" w:color="auto"/>
            </w:tcBorders>
            <w:shd w:val="clear" w:color="auto" w:fill="FF0000"/>
          </w:tcPr>
          <w:p w14:paraId="102ADE80" w14:textId="440A1C1F" w:rsidR="1880A041" w:rsidRDefault="1880A041" w:rsidP="1880A041">
            <w:pPr>
              <w:spacing w:after="0" w:line="240" w:lineRule="auto"/>
              <w:rPr>
                <w:rFonts w:ascii="Calibri" w:eastAsia="Calibri" w:hAnsi="Calibri" w:cs="Calibri"/>
                <w:color w:val="0D0D0D" w:themeColor="text1" w:themeTint="F2"/>
                <w:sz w:val="22"/>
                <w:szCs w:val="22"/>
              </w:rPr>
            </w:pPr>
            <w:r w:rsidRPr="1880A041">
              <w:rPr>
                <w:rFonts w:ascii="Calibri" w:eastAsia="Calibri" w:hAnsi="Calibri" w:cs="Calibri"/>
                <w:b/>
                <w:bCs/>
                <w:color w:val="0D0D0D" w:themeColor="text1" w:themeTint="F2"/>
                <w:sz w:val="22"/>
                <w:szCs w:val="22"/>
              </w:rPr>
              <w:t>64%</w:t>
            </w:r>
            <w:r w:rsidRPr="1880A041">
              <w:rPr>
                <w:rFonts w:ascii="Calibri" w:eastAsia="Calibri" w:hAnsi="Calibri" w:cs="Calibri"/>
                <w:color w:val="0D0D0D" w:themeColor="text1" w:themeTint="F2"/>
                <w:sz w:val="22"/>
                <w:szCs w:val="22"/>
              </w:rPr>
              <w:t> </w:t>
            </w:r>
          </w:p>
        </w:tc>
        <w:tc>
          <w:tcPr>
            <w:tcW w:w="1260" w:type="dxa"/>
            <w:tcBorders>
              <w:top w:val="single" w:sz="6" w:space="0" w:color="auto"/>
              <w:left w:val="single" w:sz="6" w:space="0" w:color="auto"/>
              <w:bottom w:val="single" w:sz="6" w:space="0" w:color="auto"/>
              <w:right w:val="single" w:sz="6" w:space="0" w:color="auto"/>
            </w:tcBorders>
            <w:shd w:val="clear" w:color="auto" w:fill="FF0000"/>
          </w:tcPr>
          <w:p w14:paraId="635BD33F" w14:textId="2AE1227B" w:rsidR="1880A041" w:rsidRDefault="1880A041" w:rsidP="1880A041">
            <w:pPr>
              <w:spacing w:after="0" w:line="240" w:lineRule="auto"/>
              <w:rPr>
                <w:rFonts w:ascii="Calibri" w:eastAsia="Calibri" w:hAnsi="Calibri" w:cs="Calibri"/>
                <w:color w:val="0D0D0D" w:themeColor="text1" w:themeTint="F2"/>
                <w:sz w:val="22"/>
                <w:szCs w:val="22"/>
              </w:rPr>
            </w:pPr>
            <w:r w:rsidRPr="1880A041">
              <w:rPr>
                <w:rFonts w:ascii="Calibri" w:eastAsia="Calibri" w:hAnsi="Calibri" w:cs="Calibri"/>
                <w:b/>
                <w:bCs/>
                <w:color w:val="0D0D0D" w:themeColor="text1" w:themeTint="F2"/>
                <w:sz w:val="22"/>
                <w:szCs w:val="22"/>
              </w:rPr>
              <w:t>44%</w:t>
            </w:r>
            <w:r w:rsidRPr="1880A041">
              <w:rPr>
                <w:rFonts w:ascii="Calibri" w:eastAsia="Calibri" w:hAnsi="Calibri" w:cs="Calibri"/>
                <w:color w:val="0D0D0D" w:themeColor="text1" w:themeTint="F2"/>
                <w:sz w:val="22"/>
                <w:szCs w:val="22"/>
              </w:rPr>
              <w:t> </w:t>
            </w:r>
          </w:p>
        </w:tc>
        <w:tc>
          <w:tcPr>
            <w:tcW w:w="1290" w:type="dxa"/>
            <w:tcBorders>
              <w:top w:val="single" w:sz="6" w:space="0" w:color="auto"/>
              <w:left w:val="single" w:sz="6" w:space="0" w:color="auto"/>
              <w:bottom w:val="single" w:sz="6" w:space="0" w:color="auto"/>
              <w:right w:val="single" w:sz="6" w:space="0" w:color="auto"/>
            </w:tcBorders>
            <w:shd w:val="clear" w:color="auto" w:fill="00B0F0"/>
          </w:tcPr>
          <w:p w14:paraId="7EB33ABC" w14:textId="7B8F9B0A" w:rsidR="1880A041" w:rsidRDefault="1880A041" w:rsidP="1880A041">
            <w:pPr>
              <w:spacing w:after="0" w:line="240" w:lineRule="auto"/>
              <w:rPr>
                <w:rFonts w:ascii="Calibri" w:eastAsia="Calibri" w:hAnsi="Calibri" w:cs="Calibri"/>
                <w:color w:val="0D0D0D" w:themeColor="text1" w:themeTint="F2"/>
                <w:sz w:val="22"/>
                <w:szCs w:val="22"/>
              </w:rPr>
            </w:pPr>
            <w:r w:rsidRPr="1880A041">
              <w:rPr>
                <w:rFonts w:ascii="Calibri" w:eastAsia="Calibri" w:hAnsi="Calibri" w:cs="Calibri"/>
                <w:b/>
                <w:bCs/>
                <w:color w:val="0D0D0D" w:themeColor="text1" w:themeTint="F2"/>
                <w:sz w:val="22"/>
                <w:szCs w:val="22"/>
              </w:rPr>
              <w:t>50%</w:t>
            </w:r>
            <w:r w:rsidRPr="1880A041">
              <w:rPr>
                <w:rFonts w:ascii="Calibri" w:eastAsia="Calibri" w:hAnsi="Calibri" w:cs="Calibri"/>
                <w:color w:val="0D0D0D" w:themeColor="text1" w:themeTint="F2"/>
                <w:sz w:val="22"/>
                <w:szCs w:val="22"/>
              </w:rPr>
              <w:t> </w:t>
            </w:r>
          </w:p>
        </w:tc>
        <w:tc>
          <w:tcPr>
            <w:tcW w:w="1260" w:type="dxa"/>
            <w:tcBorders>
              <w:top w:val="single" w:sz="6" w:space="0" w:color="auto"/>
              <w:left w:val="single" w:sz="6" w:space="0" w:color="auto"/>
              <w:bottom w:val="single" w:sz="6" w:space="0" w:color="auto"/>
              <w:right w:val="single" w:sz="6" w:space="0" w:color="auto"/>
            </w:tcBorders>
            <w:shd w:val="clear" w:color="auto" w:fill="FF0000"/>
          </w:tcPr>
          <w:p w14:paraId="731CB056" w14:textId="1DCE30BD" w:rsidR="1880A041" w:rsidRDefault="1880A041" w:rsidP="1880A041">
            <w:pPr>
              <w:spacing w:after="0" w:line="240" w:lineRule="auto"/>
              <w:rPr>
                <w:rFonts w:ascii="Calibri" w:eastAsia="Calibri" w:hAnsi="Calibri" w:cs="Calibri"/>
                <w:color w:val="0D0D0D" w:themeColor="text1" w:themeTint="F2"/>
                <w:sz w:val="22"/>
                <w:szCs w:val="22"/>
              </w:rPr>
            </w:pPr>
            <w:r w:rsidRPr="1880A041">
              <w:rPr>
                <w:rFonts w:ascii="Calibri" w:eastAsia="Calibri" w:hAnsi="Calibri" w:cs="Calibri"/>
                <w:b/>
                <w:bCs/>
                <w:color w:val="0D0D0D" w:themeColor="text1" w:themeTint="F2"/>
                <w:sz w:val="22"/>
                <w:szCs w:val="22"/>
              </w:rPr>
              <w:t>72%</w:t>
            </w:r>
            <w:r w:rsidRPr="1880A041">
              <w:rPr>
                <w:rFonts w:ascii="Calibri" w:eastAsia="Calibri" w:hAnsi="Calibri" w:cs="Calibri"/>
                <w:color w:val="0D0D0D" w:themeColor="text1" w:themeTint="F2"/>
                <w:sz w:val="22"/>
                <w:szCs w:val="22"/>
              </w:rPr>
              <w:t> </w:t>
            </w:r>
          </w:p>
        </w:tc>
        <w:tc>
          <w:tcPr>
            <w:tcW w:w="1290" w:type="dxa"/>
            <w:tcBorders>
              <w:top w:val="single" w:sz="6" w:space="0" w:color="auto"/>
              <w:left w:val="single" w:sz="6" w:space="0" w:color="auto"/>
              <w:bottom w:val="single" w:sz="6" w:space="0" w:color="auto"/>
              <w:right w:val="single" w:sz="6" w:space="0" w:color="auto"/>
            </w:tcBorders>
            <w:shd w:val="clear" w:color="auto" w:fill="00B0F0"/>
          </w:tcPr>
          <w:p w14:paraId="1FE0A660" w14:textId="5247D2D3" w:rsidR="1880A041" w:rsidRDefault="1880A041" w:rsidP="1880A041">
            <w:pPr>
              <w:spacing w:after="0" w:line="240" w:lineRule="auto"/>
              <w:rPr>
                <w:rFonts w:ascii="Calibri" w:eastAsia="Calibri" w:hAnsi="Calibri" w:cs="Calibri"/>
                <w:color w:val="0D0D0D" w:themeColor="text1" w:themeTint="F2"/>
                <w:sz w:val="22"/>
                <w:szCs w:val="22"/>
              </w:rPr>
            </w:pPr>
            <w:r w:rsidRPr="1880A041">
              <w:rPr>
                <w:rFonts w:ascii="Calibri" w:eastAsia="Calibri" w:hAnsi="Calibri" w:cs="Calibri"/>
                <w:b/>
                <w:bCs/>
                <w:color w:val="0D0D0D" w:themeColor="text1" w:themeTint="F2"/>
                <w:sz w:val="22"/>
                <w:szCs w:val="22"/>
              </w:rPr>
              <w:t>73%</w:t>
            </w:r>
            <w:r w:rsidRPr="1880A041">
              <w:rPr>
                <w:rFonts w:ascii="Calibri" w:eastAsia="Calibri" w:hAnsi="Calibri" w:cs="Calibri"/>
                <w:color w:val="0D0D0D" w:themeColor="text1" w:themeTint="F2"/>
                <w:sz w:val="22"/>
                <w:szCs w:val="22"/>
              </w:rPr>
              <w:t> </w:t>
            </w:r>
          </w:p>
        </w:tc>
      </w:tr>
      <w:tr w:rsidR="1880A041" w14:paraId="3626ACE9" w14:textId="77777777" w:rsidTr="1880A041">
        <w:trPr>
          <w:trHeight w:val="300"/>
        </w:trPr>
        <w:tc>
          <w:tcPr>
            <w:tcW w:w="1260" w:type="dxa"/>
            <w:tcBorders>
              <w:top w:val="single" w:sz="6" w:space="0" w:color="auto"/>
              <w:left w:val="single" w:sz="6" w:space="0" w:color="auto"/>
              <w:bottom w:val="single" w:sz="6" w:space="0" w:color="auto"/>
              <w:right w:val="single" w:sz="6" w:space="0" w:color="auto"/>
            </w:tcBorders>
            <w:shd w:val="clear" w:color="auto" w:fill="00B050"/>
          </w:tcPr>
          <w:p w14:paraId="70BA0798" w14:textId="366550B6" w:rsidR="1880A041" w:rsidRDefault="1880A041" w:rsidP="1880A041">
            <w:pPr>
              <w:spacing w:after="0" w:line="240" w:lineRule="auto"/>
              <w:rPr>
                <w:rFonts w:ascii="Calibri" w:eastAsia="Calibri" w:hAnsi="Calibri" w:cs="Calibri"/>
                <w:color w:val="0D0D0D" w:themeColor="text1" w:themeTint="F2"/>
                <w:sz w:val="22"/>
                <w:szCs w:val="22"/>
              </w:rPr>
            </w:pPr>
            <w:r w:rsidRPr="1880A041">
              <w:rPr>
                <w:rFonts w:ascii="Calibri" w:eastAsia="Calibri" w:hAnsi="Calibri" w:cs="Calibri"/>
                <w:b/>
                <w:bCs/>
                <w:color w:val="0D0D0D" w:themeColor="text1" w:themeTint="F2"/>
                <w:sz w:val="22"/>
                <w:szCs w:val="22"/>
              </w:rPr>
              <w:t>Y6</w:t>
            </w:r>
            <w:r w:rsidRPr="1880A041">
              <w:rPr>
                <w:rFonts w:ascii="Calibri" w:eastAsia="Calibri" w:hAnsi="Calibri" w:cs="Calibri"/>
                <w:color w:val="0D0D0D" w:themeColor="text1" w:themeTint="F2"/>
                <w:sz w:val="22"/>
                <w:szCs w:val="22"/>
              </w:rPr>
              <w:t> </w:t>
            </w:r>
          </w:p>
        </w:tc>
        <w:tc>
          <w:tcPr>
            <w:tcW w:w="1260" w:type="dxa"/>
            <w:tcBorders>
              <w:top w:val="single" w:sz="6" w:space="0" w:color="auto"/>
              <w:left w:val="single" w:sz="6" w:space="0" w:color="auto"/>
              <w:bottom w:val="single" w:sz="6" w:space="0" w:color="auto"/>
              <w:right w:val="single" w:sz="6" w:space="0" w:color="auto"/>
            </w:tcBorders>
            <w:shd w:val="clear" w:color="auto" w:fill="00B0F0"/>
          </w:tcPr>
          <w:p w14:paraId="1FAE856C" w14:textId="153D67A1" w:rsidR="1880A041" w:rsidRDefault="1880A041" w:rsidP="1880A041">
            <w:pPr>
              <w:spacing w:after="0" w:line="240" w:lineRule="auto"/>
              <w:rPr>
                <w:rFonts w:ascii="Calibri" w:eastAsia="Calibri" w:hAnsi="Calibri" w:cs="Calibri"/>
                <w:color w:val="0D0D0D" w:themeColor="text1" w:themeTint="F2"/>
                <w:sz w:val="22"/>
                <w:szCs w:val="22"/>
              </w:rPr>
            </w:pPr>
            <w:r w:rsidRPr="1880A041">
              <w:rPr>
                <w:rFonts w:ascii="Calibri" w:eastAsia="Calibri" w:hAnsi="Calibri" w:cs="Calibri"/>
                <w:b/>
                <w:bCs/>
                <w:color w:val="0D0D0D" w:themeColor="text1" w:themeTint="F2"/>
                <w:sz w:val="22"/>
                <w:szCs w:val="22"/>
              </w:rPr>
              <w:t>68%</w:t>
            </w:r>
            <w:r w:rsidRPr="1880A041">
              <w:rPr>
                <w:rFonts w:ascii="Calibri" w:eastAsia="Calibri" w:hAnsi="Calibri" w:cs="Calibri"/>
                <w:color w:val="0D0D0D" w:themeColor="text1" w:themeTint="F2"/>
                <w:sz w:val="22"/>
                <w:szCs w:val="22"/>
              </w:rPr>
              <w:t> </w:t>
            </w:r>
          </w:p>
        </w:tc>
        <w:tc>
          <w:tcPr>
            <w:tcW w:w="1290" w:type="dxa"/>
            <w:tcBorders>
              <w:top w:val="single" w:sz="6" w:space="0" w:color="auto"/>
              <w:left w:val="single" w:sz="6" w:space="0" w:color="auto"/>
              <w:bottom w:val="single" w:sz="6" w:space="0" w:color="auto"/>
              <w:right w:val="single" w:sz="6" w:space="0" w:color="auto"/>
            </w:tcBorders>
            <w:shd w:val="clear" w:color="auto" w:fill="FF0000"/>
          </w:tcPr>
          <w:p w14:paraId="790D9D10" w14:textId="588E03D4" w:rsidR="1880A041" w:rsidRDefault="1880A041" w:rsidP="1880A041">
            <w:pPr>
              <w:spacing w:after="0" w:line="240" w:lineRule="auto"/>
              <w:rPr>
                <w:rFonts w:ascii="Calibri" w:eastAsia="Calibri" w:hAnsi="Calibri" w:cs="Calibri"/>
                <w:color w:val="0D0D0D" w:themeColor="text1" w:themeTint="F2"/>
                <w:sz w:val="22"/>
                <w:szCs w:val="22"/>
              </w:rPr>
            </w:pPr>
            <w:r w:rsidRPr="1880A041">
              <w:rPr>
                <w:rFonts w:ascii="Calibri" w:eastAsia="Calibri" w:hAnsi="Calibri" w:cs="Calibri"/>
                <w:b/>
                <w:bCs/>
                <w:color w:val="0D0D0D" w:themeColor="text1" w:themeTint="F2"/>
                <w:sz w:val="22"/>
                <w:szCs w:val="22"/>
              </w:rPr>
              <w:t>67%</w:t>
            </w:r>
            <w:r w:rsidRPr="1880A041">
              <w:rPr>
                <w:rFonts w:ascii="Calibri" w:eastAsia="Calibri" w:hAnsi="Calibri" w:cs="Calibri"/>
                <w:color w:val="0D0D0D" w:themeColor="text1" w:themeTint="F2"/>
                <w:sz w:val="22"/>
                <w:szCs w:val="22"/>
              </w:rPr>
              <w:t> </w:t>
            </w:r>
          </w:p>
        </w:tc>
        <w:tc>
          <w:tcPr>
            <w:tcW w:w="1260" w:type="dxa"/>
            <w:tcBorders>
              <w:top w:val="single" w:sz="6" w:space="0" w:color="auto"/>
              <w:left w:val="single" w:sz="6" w:space="0" w:color="auto"/>
              <w:bottom w:val="single" w:sz="6" w:space="0" w:color="auto"/>
              <w:right w:val="single" w:sz="6" w:space="0" w:color="auto"/>
            </w:tcBorders>
            <w:shd w:val="clear" w:color="auto" w:fill="FF0000"/>
          </w:tcPr>
          <w:p w14:paraId="5403E1D8" w14:textId="1E68C9DB" w:rsidR="1880A041" w:rsidRDefault="1880A041" w:rsidP="1880A041">
            <w:pPr>
              <w:spacing w:after="0" w:line="240" w:lineRule="auto"/>
              <w:rPr>
                <w:rFonts w:ascii="Calibri" w:eastAsia="Calibri" w:hAnsi="Calibri" w:cs="Calibri"/>
                <w:color w:val="0D0D0D" w:themeColor="text1" w:themeTint="F2"/>
                <w:sz w:val="22"/>
                <w:szCs w:val="22"/>
              </w:rPr>
            </w:pPr>
            <w:r w:rsidRPr="1880A041">
              <w:rPr>
                <w:rFonts w:ascii="Calibri" w:eastAsia="Calibri" w:hAnsi="Calibri" w:cs="Calibri"/>
                <w:b/>
                <w:bCs/>
                <w:color w:val="0D0D0D" w:themeColor="text1" w:themeTint="F2"/>
                <w:sz w:val="22"/>
                <w:szCs w:val="22"/>
              </w:rPr>
              <w:t>58%</w:t>
            </w:r>
            <w:r w:rsidRPr="1880A041">
              <w:rPr>
                <w:rFonts w:ascii="Calibri" w:eastAsia="Calibri" w:hAnsi="Calibri" w:cs="Calibri"/>
                <w:color w:val="0D0D0D" w:themeColor="text1" w:themeTint="F2"/>
                <w:sz w:val="22"/>
                <w:szCs w:val="22"/>
              </w:rPr>
              <w:t> </w:t>
            </w:r>
          </w:p>
        </w:tc>
        <w:tc>
          <w:tcPr>
            <w:tcW w:w="1290" w:type="dxa"/>
            <w:tcBorders>
              <w:top w:val="single" w:sz="6" w:space="0" w:color="auto"/>
              <w:left w:val="single" w:sz="6" w:space="0" w:color="auto"/>
              <w:bottom w:val="single" w:sz="6" w:space="0" w:color="auto"/>
              <w:right w:val="single" w:sz="6" w:space="0" w:color="auto"/>
            </w:tcBorders>
            <w:shd w:val="clear" w:color="auto" w:fill="00B0F0"/>
          </w:tcPr>
          <w:p w14:paraId="3A9A5256" w14:textId="6D33A184" w:rsidR="1880A041" w:rsidRDefault="1880A041" w:rsidP="1880A041">
            <w:pPr>
              <w:spacing w:after="0" w:line="240" w:lineRule="auto"/>
              <w:rPr>
                <w:rFonts w:ascii="Calibri" w:eastAsia="Calibri" w:hAnsi="Calibri" w:cs="Calibri"/>
                <w:color w:val="0D0D0D" w:themeColor="text1" w:themeTint="F2"/>
                <w:sz w:val="22"/>
                <w:szCs w:val="22"/>
              </w:rPr>
            </w:pPr>
            <w:r w:rsidRPr="1880A041">
              <w:rPr>
                <w:rFonts w:ascii="Calibri" w:eastAsia="Calibri" w:hAnsi="Calibri" w:cs="Calibri"/>
                <w:b/>
                <w:bCs/>
                <w:color w:val="0D0D0D" w:themeColor="text1" w:themeTint="F2"/>
                <w:sz w:val="22"/>
                <w:szCs w:val="22"/>
              </w:rPr>
              <w:t>67%</w:t>
            </w:r>
            <w:r w:rsidRPr="1880A041">
              <w:rPr>
                <w:rFonts w:ascii="Calibri" w:eastAsia="Calibri" w:hAnsi="Calibri" w:cs="Calibri"/>
                <w:color w:val="0D0D0D" w:themeColor="text1" w:themeTint="F2"/>
                <w:sz w:val="22"/>
                <w:szCs w:val="22"/>
              </w:rPr>
              <w:t> </w:t>
            </w:r>
          </w:p>
        </w:tc>
        <w:tc>
          <w:tcPr>
            <w:tcW w:w="1260" w:type="dxa"/>
            <w:tcBorders>
              <w:top w:val="single" w:sz="6" w:space="0" w:color="auto"/>
              <w:left w:val="single" w:sz="6" w:space="0" w:color="auto"/>
              <w:bottom w:val="single" w:sz="6" w:space="0" w:color="auto"/>
              <w:right w:val="single" w:sz="6" w:space="0" w:color="auto"/>
            </w:tcBorders>
            <w:shd w:val="clear" w:color="auto" w:fill="FF0000"/>
          </w:tcPr>
          <w:p w14:paraId="6F4805D3" w14:textId="5D26694B" w:rsidR="1880A041" w:rsidRDefault="1880A041" w:rsidP="1880A041">
            <w:pPr>
              <w:spacing w:after="0" w:line="240" w:lineRule="auto"/>
              <w:rPr>
                <w:rFonts w:ascii="Calibri" w:eastAsia="Calibri" w:hAnsi="Calibri" w:cs="Calibri"/>
                <w:color w:val="0D0D0D" w:themeColor="text1" w:themeTint="F2"/>
                <w:sz w:val="22"/>
                <w:szCs w:val="22"/>
              </w:rPr>
            </w:pPr>
            <w:r w:rsidRPr="1880A041">
              <w:rPr>
                <w:rFonts w:ascii="Calibri" w:eastAsia="Calibri" w:hAnsi="Calibri" w:cs="Calibri"/>
                <w:b/>
                <w:bCs/>
                <w:color w:val="0D0D0D" w:themeColor="text1" w:themeTint="F2"/>
                <w:sz w:val="22"/>
                <w:szCs w:val="22"/>
              </w:rPr>
              <w:t>55%</w:t>
            </w:r>
            <w:r w:rsidRPr="1880A041">
              <w:rPr>
                <w:rFonts w:ascii="Calibri" w:eastAsia="Calibri" w:hAnsi="Calibri" w:cs="Calibri"/>
                <w:color w:val="0D0D0D" w:themeColor="text1" w:themeTint="F2"/>
                <w:sz w:val="22"/>
                <w:szCs w:val="22"/>
              </w:rPr>
              <w:t> </w:t>
            </w:r>
          </w:p>
        </w:tc>
        <w:tc>
          <w:tcPr>
            <w:tcW w:w="1290" w:type="dxa"/>
            <w:tcBorders>
              <w:top w:val="single" w:sz="6" w:space="0" w:color="auto"/>
              <w:left w:val="single" w:sz="6" w:space="0" w:color="auto"/>
              <w:bottom w:val="single" w:sz="6" w:space="0" w:color="auto"/>
              <w:right w:val="single" w:sz="6" w:space="0" w:color="auto"/>
            </w:tcBorders>
            <w:shd w:val="clear" w:color="auto" w:fill="00B0F0"/>
          </w:tcPr>
          <w:p w14:paraId="720ED1F9" w14:textId="722D61CD" w:rsidR="1880A041" w:rsidRDefault="1880A041" w:rsidP="1880A041">
            <w:pPr>
              <w:spacing w:after="0" w:line="240" w:lineRule="auto"/>
              <w:rPr>
                <w:rFonts w:ascii="Calibri" w:eastAsia="Calibri" w:hAnsi="Calibri" w:cs="Calibri"/>
                <w:color w:val="0D0D0D" w:themeColor="text1" w:themeTint="F2"/>
                <w:sz w:val="22"/>
                <w:szCs w:val="22"/>
              </w:rPr>
            </w:pPr>
            <w:r w:rsidRPr="1880A041">
              <w:rPr>
                <w:rFonts w:ascii="Calibri" w:eastAsia="Calibri" w:hAnsi="Calibri" w:cs="Calibri"/>
                <w:b/>
                <w:bCs/>
                <w:color w:val="0D0D0D" w:themeColor="text1" w:themeTint="F2"/>
                <w:sz w:val="22"/>
                <w:szCs w:val="22"/>
              </w:rPr>
              <w:t>67%</w:t>
            </w:r>
            <w:r w:rsidRPr="1880A041">
              <w:rPr>
                <w:rFonts w:ascii="Calibri" w:eastAsia="Calibri" w:hAnsi="Calibri" w:cs="Calibri"/>
                <w:color w:val="0D0D0D" w:themeColor="text1" w:themeTint="F2"/>
                <w:sz w:val="22"/>
                <w:szCs w:val="22"/>
              </w:rPr>
              <w:t> </w:t>
            </w:r>
          </w:p>
        </w:tc>
      </w:tr>
    </w:tbl>
    <w:p w14:paraId="11683DAD" w14:textId="4792FAE2" w:rsidR="10D55F5E" w:rsidRDefault="10D55F5E" w:rsidP="1880A041">
      <w:pPr>
        <w:spacing w:after="0" w:line="240" w:lineRule="auto"/>
        <w:jc w:val="both"/>
        <w:rPr>
          <w:rFonts w:ascii="Calibri" w:eastAsia="Calibri" w:hAnsi="Calibri" w:cs="Calibri"/>
          <w:color w:val="0D0D0D" w:themeColor="text1" w:themeTint="F2"/>
          <w:sz w:val="22"/>
          <w:szCs w:val="22"/>
        </w:rPr>
      </w:pPr>
      <w:r w:rsidRPr="1880A041">
        <w:rPr>
          <w:rFonts w:ascii="Calibri" w:eastAsia="Calibri" w:hAnsi="Calibri" w:cs="Calibri"/>
          <w:color w:val="0D0D0D" w:themeColor="text1" w:themeTint="F2"/>
          <w:sz w:val="22"/>
          <w:szCs w:val="22"/>
        </w:rPr>
        <w:t> </w:t>
      </w:r>
    </w:p>
    <w:p w14:paraId="4FFCB393" w14:textId="4B44E1FB" w:rsidR="10D55F5E" w:rsidRDefault="10D55F5E" w:rsidP="1880A041">
      <w:pPr>
        <w:spacing w:after="0" w:line="240" w:lineRule="auto"/>
        <w:rPr>
          <w:rFonts w:ascii="Calibri" w:eastAsia="Calibri" w:hAnsi="Calibri" w:cs="Calibri"/>
          <w:color w:val="000000" w:themeColor="text1"/>
          <w:sz w:val="22"/>
          <w:szCs w:val="22"/>
        </w:rPr>
      </w:pPr>
      <w:r w:rsidRPr="1880A041">
        <w:rPr>
          <w:rFonts w:ascii="Calibri" w:eastAsia="Calibri" w:hAnsi="Calibri" w:cs="Calibri"/>
          <w:color w:val="000000" w:themeColor="text1"/>
          <w:sz w:val="22"/>
          <w:szCs w:val="22"/>
        </w:rPr>
        <w:t>% of children at Met in Reception  </w:t>
      </w:r>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810"/>
        <w:gridCol w:w="900"/>
        <w:gridCol w:w="900"/>
        <w:gridCol w:w="900"/>
        <w:gridCol w:w="900"/>
        <w:gridCol w:w="900"/>
        <w:gridCol w:w="900"/>
        <w:gridCol w:w="615"/>
        <w:gridCol w:w="750"/>
        <w:gridCol w:w="675"/>
        <w:gridCol w:w="30"/>
        <w:gridCol w:w="660"/>
      </w:tblGrid>
      <w:tr w:rsidR="1880A041" w14:paraId="6FFCB2FC" w14:textId="77777777" w:rsidTr="1880A041">
        <w:trPr>
          <w:trHeight w:val="300"/>
        </w:trPr>
        <w:tc>
          <w:tcPr>
            <w:tcW w:w="810" w:type="dxa"/>
            <w:tcBorders>
              <w:top w:val="single" w:sz="6" w:space="0" w:color="auto"/>
              <w:left w:val="single" w:sz="6" w:space="0" w:color="auto"/>
              <w:bottom w:val="single" w:sz="6" w:space="0" w:color="auto"/>
              <w:right w:val="single" w:sz="6" w:space="0" w:color="auto"/>
            </w:tcBorders>
          </w:tcPr>
          <w:p w14:paraId="0E04910F" w14:textId="6186AC4F" w:rsidR="1880A041" w:rsidRDefault="1880A041" w:rsidP="1880A041">
            <w:pPr>
              <w:spacing w:after="0" w:line="240" w:lineRule="auto"/>
              <w:rPr>
                <w:rFonts w:ascii="Calibri Light" w:eastAsia="Calibri Light" w:hAnsi="Calibri Light" w:cs="Calibri Light"/>
                <w:color w:val="0D0D0D" w:themeColor="text1" w:themeTint="F2"/>
                <w:sz w:val="22"/>
                <w:szCs w:val="22"/>
              </w:rPr>
            </w:pPr>
            <w:r w:rsidRPr="1880A041">
              <w:rPr>
                <w:rFonts w:ascii="Calibri Light" w:eastAsia="Calibri Light" w:hAnsi="Calibri Light" w:cs="Calibri Light"/>
                <w:color w:val="0D0D0D" w:themeColor="text1" w:themeTint="F2"/>
                <w:sz w:val="22"/>
                <w:szCs w:val="22"/>
              </w:rPr>
              <w:t>  </w:t>
            </w:r>
          </w:p>
        </w:tc>
        <w:tc>
          <w:tcPr>
            <w:tcW w:w="1800" w:type="dxa"/>
            <w:gridSpan w:val="2"/>
            <w:tcBorders>
              <w:top w:val="single" w:sz="6" w:space="0" w:color="auto"/>
              <w:left w:val="single" w:sz="6" w:space="0" w:color="auto"/>
              <w:bottom w:val="single" w:sz="6" w:space="0" w:color="auto"/>
              <w:right w:val="single" w:sz="6" w:space="0" w:color="auto"/>
            </w:tcBorders>
          </w:tcPr>
          <w:p w14:paraId="7E6FBA52" w14:textId="3A0E1D4A" w:rsidR="1880A041" w:rsidRDefault="1880A041" w:rsidP="1880A041">
            <w:pPr>
              <w:spacing w:after="0" w:line="240" w:lineRule="auto"/>
              <w:jc w:val="center"/>
              <w:rPr>
                <w:rFonts w:ascii="Calibri Light" w:eastAsia="Calibri Light" w:hAnsi="Calibri Light" w:cs="Calibri Light"/>
                <w:color w:val="0D0D0D" w:themeColor="text1" w:themeTint="F2"/>
                <w:sz w:val="22"/>
                <w:szCs w:val="22"/>
              </w:rPr>
            </w:pPr>
            <w:r w:rsidRPr="1880A041">
              <w:rPr>
                <w:rFonts w:ascii="Calibri Light" w:eastAsia="Calibri Light" w:hAnsi="Calibri Light" w:cs="Calibri Light"/>
                <w:color w:val="0D0D0D" w:themeColor="text1" w:themeTint="F2"/>
                <w:sz w:val="22"/>
                <w:szCs w:val="22"/>
              </w:rPr>
              <w:t>PSED </w:t>
            </w:r>
          </w:p>
        </w:tc>
        <w:tc>
          <w:tcPr>
            <w:tcW w:w="1800" w:type="dxa"/>
            <w:gridSpan w:val="2"/>
            <w:tcBorders>
              <w:top w:val="single" w:sz="6" w:space="0" w:color="auto"/>
              <w:left w:val="single" w:sz="6" w:space="0" w:color="auto"/>
              <w:bottom w:val="single" w:sz="6" w:space="0" w:color="auto"/>
              <w:right w:val="single" w:sz="6" w:space="0" w:color="auto"/>
            </w:tcBorders>
          </w:tcPr>
          <w:p w14:paraId="71A63A91" w14:textId="02A8BA65" w:rsidR="1880A041" w:rsidRDefault="1880A041" w:rsidP="1880A041">
            <w:pPr>
              <w:spacing w:after="0" w:line="240" w:lineRule="auto"/>
              <w:jc w:val="center"/>
              <w:rPr>
                <w:rFonts w:ascii="Calibri Light" w:eastAsia="Calibri Light" w:hAnsi="Calibri Light" w:cs="Calibri Light"/>
                <w:color w:val="0D0D0D" w:themeColor="text1" w:themeTint="F2"/>
                <w:sz w:val="22"/>
                <w:szCs w:val="22"/>
              </w:rPr>
            </w:pPr>
            <w:r w:rsidRPr="1880A041">
              <w:rPr>
                <w:rFonts w:ascii="Calibri Light" w:eastAsia="Calibri Light" w:hAnsi="Calibri Light" w:cs="Calibri Light"/>
                <w:color w:val="0D0D0D" w:themeColor="text1" w:themeTint="F2"/>
                <w:sz w:val="22"/>
                <w:szCs w:val="22"/>
              </w:rPr>
              <w:t>C&amp;L </w:t>
            </w:r>
          </w:p>
        </w:tc>
        <w:tc>
          <w:tcPr>
            <w:tcW w:w="1800" w:type="dxa"/>
            <w:gridSpan w:val="2"/>
            <w:tcBorders>
              <w:top w:val="single" w:sz="6" w:space="0" w:color="auto"/>
              <w:left w:val="single" w:sz="6" w:space="0" w:color="auto"/>
              <w:bottom w:val="single" w:sz="6" w:space="0" w:color="auto"/>
              <w:right w:val="single" w:sz="6" w:space="0" w:color="auto"/>
            </w:tcBorders>
          </w:tcPr>
          <w:p w14:paraId="153895CD" w14:textId="2C0AA8C8" w:rsidR="1880A041" w:rsidRDefault="1880A041" w:rsidP="1880A041">
            <w:pPr>
              <w:spacing w:after="0" w:line="240" w:lineRule="auto"/>
              <w:jc w:val="center"/>
              <w:rPr>
                <w:rFonts w:ascii="Calibri Light" w:eastAsia="Calibri Light" w:hAnsi="Calibri Light" w:cs="Calibri Light"/>
                <w:color w:val="0D0D0D" w:themeColor="text1" w:themeTint="F2"/>
                <w:sz w:val="22"/>
                <w:szCs w:val="22"/>
              </w:rPr>
            </w:pPr>
            <w:r w:rsidRPr="1880A041">
              <w:rPr>
                <w:rFonts w:ascii="Calibri Light" w:eastAsia="Calibri Light" w:hAnsi="Calibri Light" w:cs="Calibri Light"/>
                <w:color w:val="0D0D0D" w:themeColor="text1" w:themeTint="F2"/>
                <w:sz w:val="22"/>
                <w:szCs w:val="22"/>
              </w:rPr>
              <w:t>PD </w:t>
            </w:r>
          </w:p>
        </w:tc>
        <w:tc>
          <w:tcPr>
            <w:tcW w:w="1365" w:type="dxa"/>
            <w:gridSpan w:val="2"/>
            <w:tcBorders>
              <w:top w:val="single" w:sz="6" w:space="0" w:color="auto"/>
              <w:left w:val="single" w:sz="6" w:space="0" w:color="auto"/>
              <w:bottom w:val="single" w:sz="6" w:space="0" w:color="auto"/>
              <w:right w:val="single" w:sz="6" w:space="0" w:color="auto"/>
            </w:tcBorders>
          </w:tcPr>
          <w:p w14:paraId="726B0E33" w14:textId="6D859968" w:rsidR="1880A041" w:rsidRDefault="1880A041" w:rsidP="1880A041">
            <w:pPr>
              <w:spacing w:after="0" w:line="240" w:lineRule="auto"/>
              <w:jc w:val="center"/>
              <w:rPr>
                <w:rFonts w:ascii="Calibri Light" w:eastAsia="Calibri Light" w:hAnsi="Calibri Light" w:cs="Calibri Light"/>
                <w:color w:val="0D0D0D" w:themeColor="text1" w:themeTint="F2"/>
                <w:sz w:val="22"/>
                <w:szCs w:val="22"/>
              </w:rPr>
            </w:pPr>
            <w:r w:rsidRPr="1880A041">
              <w:rPr>
                <w:rFonts w:ascii="Calibri Light" w:eastAsia="Calibri Light" w:hAnsi="Calibri Light" w:cs="Calibri Light"/>
                <w:color w:val="0D0D0D" w:themeColor="text1" w:themeTint="F2"/>
                <w:sz w:val="22"/>
                <w:szCs w:val="22"/>
              </w:rPr>
              <w:t>Literacy </w:t>
            </w:r>
          </w:p>
        </w:tc>
        <w:tc>
          <w:tcPr>
            <w:tcW w:w="1365" w:type="dxa"/>
            <w:gridSpan w:val="3"/>
            <w:tcBorders>
              <w:top w:val="single" w:sz="6" w:space="0" w:color="auto"/>
              <w:left w:val="single" w:sz="6" w:space="0" w:color="auto"/>
              <w:bottom w:val="single" w:sz="6" w:space="0" w:color="auto"/>
              <w:right w:val="single" w:sz="6" w:space="0" w:color="auto"/>
            </w:tcBorders>
          </w:tcPr>
          <w:p w14:paraId="7C48B001" w14:textId="395B41A4" w:rsidR="1880A041" w:rsidRDefault="1880A041" w:rsidP="1880A041">
            <w:pPr>
              <w:spacing w:after="0" w:line="240" w:lineRule="auto"/>
              <w:jc w:val="center"/>
              <w:rPr>
                <w:rFonts w:ascii="Calibri Light" w:eastAsia="Calibri Light" w:hAnsi="Calibri Light" w:cs="Calibri Light"/>
                <w:color w:val="0D0D0D" w:themeColor="text1" w:themeTint="F2"/>
                <w:sz w:val="22"/>
                <w:szCs w:val="22"/>
              </w:rPr>
            </w:pPr>
            <w:r w:rsidRPr="1880A041">
              <w:rPr>
                <w:rFonts w:ascii="Calibri Light" w:eastAsia="Calibri Light" w:hAnsi="Calibri Light" w:cs="Calibri Light"/>
                <w:color w:val="0D0D0D" w:themeColor="text1" w:themeTint="F2"/>
                <w:sz w:val="22"/>
                <w:szCs w:val="22"/>
              </w:rPr>
              <w:t>Maths </w:t>
            </w:r>
          </w:p>
        </w:tc>
      </w:tr>
      <w:tr w:rsidR="1880A041" w14:paraId="08880259" w14:textId="77777777" w:rsidTr="1880A041">
        <w:trPr>
          <w:trHeight w:val="300"/>
        </w:trPr>
        <w:tc>
          <w:tcPr>
            <w:tcW w:w="810" w:type="dxa"/>
            <w:tcBorders>
              <w:top w:val="single" w:sz="6" w:space="0" w:color="auto"/>
              <w:left w:val="single" w:sz="6" w:space="0" w:color="auto"/>
              <w:bottom w:val="single" w:sz="6" w:space="0" w:color="auto"/>
              <w:right w:val="single" w:sz="6" w:space="0" w:color="auto"/>
            </w:tcBorders>
          </w:tcPr>
          <w:p w14:paraId="65A8BA01" w14:textId="34975642" w:rsidR="1880A041" w:rsidRDefault="1880A041" w:rsidP="1880A041">
            <w:pPr>
              <w:spacing w:after="0" w:line="240" w:lineRule="auto"/>
              <w:rPr>
                <w:rFonts w:ascii="Calibri Light" w:eastAsia="Calibri Light" w:hAnsi="Calibri Light" w:cs="Calibri Light"/>
                <w:color w:val="0D0D0D" w:themeColor="text1" w:themeTint="F2"/>
                <w:sz w:val="22"/>
                <w:szCs w:val="22"/>
              </w:rPr>
            </w:pPr>
            <w:r w:rsidRPr="1880A041">
              <w:rPr>
                <w:rFonts w:ascii="Calibri Light" w:eastAsia="Calibri Light" w:hAnsi="Calibri Light" w:cs="Calibri Light"/>
                <w:color w:val="0D0D0D" w:themeColor="text1" w:themeTint="F2"/>
                <w:sz w:val="22"/>
                <w:szCs w:val="22"/>
              </w:rPr>
              <w:t> </w:t>
            </w:r>
          </w:p>
        </w:tc>
        <w:tc>
          <w:tcPr>
            <w:tcW w:w="900" w:type="dxa"/>
            <w:tcBorders>
              <w:top w:val="single" w:sz="6" w:space="0" w:color="auto"/>
              <w:left w:val="single" w:sz="6" w:space="0" w:color="auto"/>
              <w:bottom w:val="single" w:sz="6" w:space="0" w:color="auto"/>
              <w:right w:val="single" w:sz="6" w:space="0" w:color="auto"/>
            </w:tcBorders>
          </w:tcPr>
          <w:p w14:paraId="4C260280" w14:textId="7F66D042" w:rsidR="1880A041" w:rsidRDefault="1880A041" w:rsidP="1880A041">
            <w:pPr>
              <w:spacing w:after="0" w:line="240" w:lineRule="auto"/>
              <w:rPr>
                <w:rFonts w:ascii="Calibri Light" w:eastAsia="Calibri Light" w:hAnsi="Calibri Light" w:cs="Calibri Light"/>
                <w:color w:val="0D0D0D" w:themeColor="text1" w:themeTint="F2"/>
                <w:sz w:val="22"/>
                <w:szCs w:val="22"/>
              </w:rPr>
            </w:pPr>
            <w:r w:rsidRPr="1880A041">
              <w:rPr>
                <w:rFonts w:ascii="Calibri Light" w:eastAsia="Calibri Light" w:hAnsi="Calibri Light" w:cs="Calibri Light"/>
                <w:color w:val="0D0D0D" w:themeColor="text1" w:themeTint="F2"/>
                <w:sz w:val="22"/>
                <w:szCs w:val="22"/>
              </w:rPr>
              <w:t>PP </w:t>
            </w:r>
          </w:p>
        </w:tc>
        <w:tc>
          <w:tcPr>
            <w:tcW w:w="900" w:type="dxa"/>
            <w:tcBorders>
              <w:top w:val="single" w:sz="6" w:space="0" w:color="auto"/>
              <w:left w:val="single" w:sz="6" w:space="0" w:color="auto"/>
              <w:bottom w:val="single" w:sz="6" w:space="0" w:color="auto"/>
              <w:right w:val="single" w:sz="6" w:space="0" w:color="auto"/>
            </w:tcBorders>
          </w:tcPr>
          <w:p w14:paraId="1F0B2BA5" w14:textId="4819CDB4" w:rsidR="1880A041" w:rsidRDefault="1880A041" w:rsidP="1880A041">
            <w:pPr>
              <w:spacing w:after="0" w:line="240" w:lineRule="auto"/>
              <w:rPr>
                <w:rFonts w:ascii="Calibri Light" w:eastAsia="Calibri Light" w:hAnsi="Calibri Light" w:cs="Calibri Light"/>
                <w:color w:val="0D0D0D" w:themeColor="text1" w:themeTint="F2"/>
                <w:sz w:val="22"/>
                <w:szCs w:val="22"/>
              </w:rPr>
            </w:pPr>
            <w:r w:rsidRPr="1880A041">
              <w:rPr>
                <w:rFonts w:ascii="Calibri Light" w:eastAsia="Calibri Light" w:hAnsi="Calibri Light" w:cs="Calibri Light"/>
                <w:color w:val="0D0D0D" w:themeColor="text1" w:themeTint="F2"/>
                <w:sz w:val="22"/>
                <w:szCs w:val="22"/>
              </w:rPr>
              <w:t>Non PP </w:t>
            </w:r>
          </w:p>
        </w:tc>
        <w:tc>
          <w:tcPr>
            <w:tcW w:w="900" w:type="dxa"/>
            <w:tcBorders>
              <w:top w:val="single" w:sz="6" w:space="0" w:color="auto"/>
              <w:left w:val="single" w:sz="6" w:space="0" w:color="auto"/>
              <w:bottom w:val="single" w:sz="6" w:space="0" w:color="auto"/>
              <w:right w:val="single" w:sz="6" w:space="0" w:color="auto"/>
            </w:tcBorders>
          </w:tcPr>
          <w:p w14:paraId="626BDBD2" w14:textId="4D7F81DC" w:rsidR="1880A041" w:rsidRDefault="1880A041" w:rsidP="1880A041">
            <w:pPr>
              <w:spacing w:after="0" w:line="240" w:lineRule="auto"/>
              <w:rPr>
                <w:rFonts w:ascii="Calibri Light" w:eastAsia="Calibri Light" w:hAnsi="Calibri Light" w:cs="Calibri Light"/>
                <w:color w:val="0D0D0D" w:themeColor="text1" w:themeTint="F2"/>
                <w:sz w:val="22"/>
                <w:szCs w:val="22"/>
              </w:rPr>
            </w:pPr>
            <w:r w:rsidRPr="1880A041">
              <w:rPr>
                <w:rFonts w:ascii="Calibri Light" w:eastAsia="Calibri Light" w:hAnsi="Calibri Light" w:cs="Calibri Light"/>
                <w:color w:val="0D0D0D" w:themeColor="text1" w:themeTint="F2"/>
                <w:sz w:val="22"/>
                <w:szCs w:val="22"/>
              </w:rPr>
              <w:t>PP </w:t>
            </w:r>
          </w:p>
        </w:tc>
        <w:tc>
          <w:tcPr>
            <w:tcW w:w="900" w:type="dxa"/>
            <w:tcBorders>
              <w:top w:val="single" w:sz="6" w:space="0" w:color="auto"/>
              <w:left w:val="single" w:sz="6" w:space="0" w:color="auto"/>
              <w:bottom w:val="single" w:sz="6" w:space="0" w:color="auto"/>
              <w:right w:val="single" w:sz="6" w:space="0" w:color="auto"/>
            </w:tcBorders>
          </w:tcPr>
          <w:p w14:paraId="4B0E3293" w14:textId="7D85B313" w:rsidR="1880A041" w:rsidRDefault="1880A041" w:rsidP="1880A041">
            <w:pPr>
              <w:spacing w:after="0" w:line="240" w:lineRule="auto"/>
              <w:rPr>
                <w:rFonts w:ascii="Calibri Light" w:eastAsia="Calibri Light" w:hAnsi="Calibri Light" w:cs="Calibri Light"/>
                <w:color w:val="0D0D0D" w:themeColor="text1" w:themeTint="F2"/>
                <w:sz w:val="22"/>
                <w:szCs w:val="22"/>
              </w:rPr>
            </w:pPr>
            <w:r w:rsidRPr="1880A041">
              <w:rPr>
                <w:rFonts w:ascii="Calibri Light" w:eastAsia="Calibri Light" w:hAnsi="Calibri Light" w:cs="Calibri Light"/>
                <w:color w:val="0D0D0D" w:themeColor="text1" w:themeTint="F2"/>
                <w:sz w:val="22"/>
                <w:szCs w:val="22"/>
              </w:rPr>
              <w:t>Non PP </w:t>
            </w:r>
          </w:p>
        </w:tc>
        <w:tc>
          <w:tcPr>
            <w:tcW w:w="900" w:type="dxa"/>
            <w:tcBorders>
              <w:top w:val="single" w:sz="6" w:space="0" w:color="auto"/>
              <w:left w:val="single" w:sz="6" w:space="0" w:color="auto"/>
              <w:bottom w:val="single" w:sz="6" w:space="0" w:color="auto"/>
              <w:right w:val="single" w:sz="6" w:space="0" w:color="auto"/>
            </w:tcBorders>
          </w:tcPr>
          <w:p w14:paraId="444721DE" w14:textId="2EFD1B9C" w:rsidR="1880A041" w:rsidRDefault="1880A041" w:rsidP="1880A041">
            <w:pPr>
              <w:spacing w:after="0" w:line="240" w:lineRule="auto"/>
              <w:rPr>
                <w:rFonts w:ascii="Calibri Light" w:eastAsia="Calibri Light" w:hAnsi="Calibri Light" w:cs="Calibri Light"/>
                <w:color w:val="0D0D0D" w:themeColor="text1" w:themeTint="F2"/>
                <w:sz w:val="22"/>
                <w:szCs w:val="22"/>
              </w:rPr>
            </w:pPr>
            <w:r w:rsidRPr="1880A041">
              <w:rPr>
                <w:rFonts w:ascii="Calibri Light" w:eastAsia="Calibri Light" w:hAnsi="Calibri Light" w:cs="Calibri Light"/>
                <w:color w:val="0D0D0D" w:themeColor="text1" w:themeTint="F2"/>
                <w:sz w:val="22"/>
                <w:szCs w:val="22"/>
              </w:rPr>
              <w:t>PP </w:t>
            </w:r>
          </w:p>
        </w:tc>
        <w:tc>
          <w:tcPr>
            <w:tcW w:w="900" w:type="dxa"/>
            <w:tcBorders>
              <w:top w:val="single" w:sz="6" w:space="0" w:color="auto"/>
              <w:left w:val="single" w:sz="6" w:space="0" w:color="auto"/>
              <w:bottom w:val="single" w:sz="6" w:space="0" w:color="auto"/>
              <w:right w:val="single" w:sz="6" w:space="0" w:color="auto"/>
            </w:tcBorders>
          </w:tcPr>
          <w:p w14:paraId="66D9B39C" w14:textId="4EED0B1F" w:rsidR="1880A041" w:rsidRDefault="1880A041" w:rsidP="1880A041">
            <w:pPr>
              <w:spacing w:after="0" w:line="240" w:lineRule="auto"/>
              <w:rPr>
                <w:rFonts w:ascii="Calibri Light" w:eastAsia="Calibri Light" w:hAnsi="Calibri Light" w:cs="Calibri Light"/>
                <w:color w:val="0D0D0D" w:themeColor="text1" w:themeTint="F2"/>
                <w:sz w:val="22"/>
                <w:szCs w:val="22"/>
              </w:rPr>
            </w:pPr>
            <w:r w:rsidRPr="1880A041">
              <w:rPr>
                <w:rFonts w:ascii="Calibri Light" w:eastAsia="Calibri Light" w:hAnsi="Calibri Light" w:cs="Calibri Light"/>
                <w:color w:val="0D0D0D" w:themeColor="text1" w:themeTint="F2"/>
                <w:sz w:val="22"/>
                <w:szCs w:val="22"/>
              </w:rPr>
              <w:t>Non PP </w:t>
            </w:r>
          </w:p>
        </w:tc>
        <w:tc>
          <w:tcPr>
            <w:tcW w:w="615" w:type="dxa"/>
            <w:tcBorders>
              <w:top w:val="single" w:sz="6" w:space="0" w:color="auto"/>
              <w:left w:val="single" w:sz="6" w:space="0" w:color="auto"/>
              <w:bottom w:val="single" w:sz="6" w:space="0" w:color="auto"/>
              <w:right w:val="single" w:sz="6" w:space="0" w:color="auto"/>
            </w:tcBorders>
          </w:tcPr>
          <w:p w14:paraId="4DCB6A7E" w14:textId="109D568E" w:rsidR="1880A041" w:rsidRDefault="1880A041" w:rsidP="1880A041">
            <w:pPr>
              <w:spacing w:after="0" w:line="240" w:lineRule="auto"/>
              <w:rPr>
                <w:rFonts w:ascii="Calibri Light" w:eastAsia="Calibri Light" w:hAnsi="Calibri Light" w:cs="Calibri Light"/>
                <w:color w:val="0D0D0D" w:themeColor="text1" w:themeTint="F2"/>
                <w:sz w:val="22"/>
                <w:szCs w:val="22"/>
              </w:rPr>
            </w:pPr>
            <w:r w:rsidRPr="1880A041">
              <w:rPr>
                <w:rFonts w:ascii="Calibri Light" w:eastAsia="Calibri Light" w:hAnsi="Calibri Light" w:cs="Calibri Light"/>
                <w:color w:val="0D0D0D" w:themeColor="text1" w:themeTint="F2"/>
                <w:sz w:val="22"/>
                <w:szCs w:val="22"/>
              </w:rPr>
              <w:t>PP </w:t>
            </w:r>
          </w:p>
        </w:tc>
        <w:tc>
          <w:tcPr>
            <w:tcW w:w="750" w:type="dxa"/>
            <w:tcBorders>
              <w:top w:val="single" w:sz="6" w:space="0" w:color="auto"/>
              <w:left w:val="single" w:sz="6" w:space="0" w:color="auto"/>
              <w:bottom w:val="single" w:sz="6" w:space="0" w:color="auto"/>
              <w:right w:val="single" w:sz="6" w:space="0" w:color="auto"/>
            </w:tcBorders>
          </w:tcPr>
          <w:p w14:paraId="38A78C07" w14:textId="7B0D33E4" w:rsidR="1880A041" w:rsidRDefault="1880A041" w:rsidP="1880A041">
            <w:pPr>
              <w:spacing w:after="0" w:line="240" w:lineRule="auto"/>
              <w:rPr>
                <w:rFonts w:ascii="Calibri Light" w:eastAsia="Calibri Light" w:hAnsi="Calibri Light" w:cs="Calibri Light"/>
                <w:color w:val="0D0D0D" w:themeColor="text1" w:themeTint="F2"/>
                <w:sz w:val="22"/>
                <w:szCs w:val="22"/>
              </w:rPr>
            </w:pPr>
            <w:r w:rsidRPr="1880A041">
              <w:rPr>
                <w:rFonts w:ascii="Calibri Light" w:eastAsia="Calibri Light" w:hAnsi="Calibri Light" w:cs="Calibri Light"/>
                <w:color w:val="0D0D0D" w:themeColor="text1" w:themeTint="F2"/>
                <w:sz w:val="22"/>
                <w:szCs w:val="22"/>
              </w:rPr>
              <w:t>Non PP </w:t>
            </w:r>
          </w:p>
        </w:tc>
        <w:tc>
          <w:tcPr>
            <w:tcW w:w="675" w:type="dxa"/>
            <w:tcBorders>
              <w:top w:val="single" w:sz="6" w:space="0" w:color="auto"/>
              <w:left w:val="single" w:sz="6" w:space="0" w:color="auto"/>
              <w:bottom w:val="single" w:sz="6" w:space="0" w:color="auto"/>
              <w:right w:val="single" w:sz="6" w:space="0" w:color="auto"/>
            </w:tcBorders>
          </w:tcPr>
          <w:p w14:paraId="492D9E4B" w14:textId="09E7D2BF" w:rsidR="1880A041" w:rsidRDefault="1880A041" w:rsidP="1880A041">
            <w:pPr>
              <w:spacing w:after="0" w:line="240" w:lineRule="auto"/>
              <w:rPr>
                <w:rFonts w:ascii="Calibri Light" w:eastAsia="Calibri Light" w:hAnsi="Calibri Light" w:cs="Calibri Light"/>
                <w:color w:val="0D0D0D" w:themeColor="text1" w:themeTint="F2"/>
                <w:sz w:val="22"/>
                <w:szCs w:val="22"/>
              </w:rPr>
            </w:pPr>
            <w:r w:rsidRPr="1880A041">
              <w:rPr>
                <w:rFonts w:ascii="Calibri Light" w:eastAsia="Calibri Light" w:hAnsi="Calibri Light" w:cs="Calibri Light"/>
                <w:color w:val="0D0D0D" w:themeColor="text1" w:themeTint="F2"/>
                <w:sz w:val="22"/>
                <w:szCs w:val="22"/>
              </w:rPr>
              <w:t>PP </w:t>
            </w:r>
          </w:p>
        </w:tc>
        <w:tc>
          <w:tcPr>
            <w:tcW w:w="690" w:type="dxa"/>
            <w:gridSpan w:val="2"/>
            <w:tcBorders>
              <w:top w:val="single" w:sz="6" w:space="0" w:color="auto"/>
              <w:left w:val="single" w:sz="6" w:space="0" w:color="auto"/>
              <w:bottom w:val="single" w:sz="6" w:space="0" w:color="auto"/>
              <w:right w:val="single" w:sz="6" w:space="0" w:color="auto"/>
            </w:tcBorders>
          </w:tcPr>
          <w:p w14:paraId="2AC4399C" w14:textId="16E32507" w:rsidR="1880A041" w:rsidRDefault="1880A041" w:rsidP="1880A041">
            <w:pPr>
              <w:spacing w:after="0" w:line="240" w:lineRule="auto"/>
              <w:rPr>
                <w:rFonts w:ascii="Calibri Light" w:eastAsia="Calibri Light" w:hAnsi="Calibri Light" w:cs="Calibri Light"/>
                <w:color w:val="0D0D0D" w:themeColor="text1" w:themeTint="F2"/>
                <w:sz w:val="22"/>
                <w:szCs w:val="22"/>
              </w:rPr>
            </w:pPr>
            <w:r w:rsidRPr="1880A041">
              <w:rPr>
                <w:rFonts w:ascii="Calibri Light" w:eastAsia="Calibri Light" w:hAnsi="Calibri Light" w:cs="Calibri Light"/>
                <w:color w:val="0D0D0D" w:themeColor="text1" w:themeTint="F2"/>
                <w:sz w:val="22"/>
                <w:szCs w:val="22"/>
              </w:rPr>
              <w:t>Non PP </w:t>
            </w:r>
          </w:p>
        </w:tc>
      </w:tr>
      <w:tr w:rsidR="1880A041" w14:paraId="2A2EA19B" w14:textId="77777777" w:rsidTr="1880A041">
        <w:trPr>
          <w:trHeight w:val="300"/>
        </w:trPr>
        <w:tc>
          <w:tcPr>
            <w:tcW w:w="810" w:type="dxa"/>
            <w:tcBorders>
              <w:top w:val="single" w:sz="6" w:space="0" w:color="auto"/>
              <w:left w:val="single" w:sz="6" w:space="0" w:color="auto"/>
              <w:bottom w:val="single" w:sz="6" w:space="0" w:color="auto"/>
              <w:right w:val="single" w:sz="6" w:space="0" w:color="auto"/>
            </w:tcBorders>
            <w:shd w:val="clear" w:color="auto" w:fill="FFE599"/>
          </w:tcPr>
          <w:p w14:paraId="20B92BC6" w14:textId="3AB51A9B" w:rsidR="1880A041" w:rsidRDefault="1880A041" w:rsidP="1880A041">
            <w:pPr>
              <w:spacing w:after="0" w:line="240" w:lineRule="auto"/>
              <w:rPr>
                <w:rFonts w:ascii="Calibri Light" w:eastAsia="Calibri Light" w:hAnsi="Calibri Light" w:cs="Calibri Light"/>
                <w:color w:val="0D0D0D" w:themeColor="text1" w:themeTint="F2"/>
                <w:sz w:val="22"/>
                <w:szCs w:val="22"/>
              </w:rPr>
            </w:pPr>
            <w:r w:rsidRPr="1880A041">
              <w:rPr>
                <w:rFonts w:ascii="Calibri Light" w:eastAsia="Calibri Light" w:hAnsi="Calibri Light" w:cs="Calibri Light"/>
                <w:b/>
                <w:bCs/>
                <w:color w:val="0D0D0D" w:themeColor="text1" w:themeTint="F2"/>
                <w:sz w:val="22"/>
                <w:szCs w:val="22"/>
              </w:rPr>
              <w:t>YR</w:t>
            </w:r>
            <w:r w:rsidRPr="1880A041">
              <w:rPr>
                <w:rFonts w:ascii="Calibri Light" w:eastAsia="Calibri Light" w:hAnsi="Calibri Light" w:cs="Calibri Light"/>
                <w:color w:val="0D0D0D" w:themeColor="text1" w:themeTint="F2"/>
                <w:sz w:val="22"/>
                <w:szCs w:val="22"/>
              </w:rPr>
              <w:t> </w:t>
            </w:r>
          </w:p>
        </w:tc>
        <w:tc>
          <w:tcPr>
            <w:tcW w:w="900" w:type="dxa"/>
            <w:tcBorders>
              <w:top w:val="single" w:sz="6" w:space="0" w:color="auto"/>
              <w:left w:val="single" w:sz="6" w:space="0" w:color="auto"/>
              <w:bottom w:val="single" w:sz="6" w:space="0" w:color="auto"/>
              <w:right w:val="single" w:sz="6" w:space="0" w:color="auto"/>
            </w:tcBorders>
            <w:shd w:val="clear" w:color="auto" w:fill="FF0000"/>
          </w:tcPr>
          <w:p w14:paraId="15F4779A" w14:textId="651E0F60" w:rsidR="1880A041" w:rsidRDefault="1880A041" w:rsidP="1880A041">
            <w:pPr>
              <w:spacing w:after="0" w:line="240" w:lineRule="auto"/>
              <w:jc w:val="center"/>
              <w:rPr>
                <w:rFonts w:ascii="Calibri Light" w:eastAsia="Calibri Light" w:hAnsi="Calibri Light" w:cs="Calibri Light"/>
                <w:color w:val="0D0D0D" w:themeColor="text1" w:themeTint="F2"/>
              </w:rPr>
            </w:pPr>
            <w:r w:rsidRPr="1880A041">
              <w:rPr>
                <w:rFonts w:ascii="Calibri Light" w:eastAsia="Calibri Light" w:hAnsi="Calibri Light" w:cs="Calibri Light"/>
                <w:color w:val="0D0D0D" w:themeColor="text1" w:themeTint="F2"/>
              </w:rPr>
              <w:t>76% </w:t>
            </w:r>
          </w:p>
        </w:tc>
        <w:tc>
          <w:tcPr>
            <w:tcW w:w="900" w:type="dxa"/>
            <w:tcBorders>
              <w:top w:val="single" w:sz="6" w:space="0" w:color="auto"/>
              <w:left w:val="single" w:sz="6" w:space="0" w:color="auto"/>
              <w:bottom w:val="single" w:sz="6" w:space="0" w:color="auto"/>
              <w:right w:val="single" w:sz="6" w:space="0" w:color="auto"/>
            </w:tcBorders>
            <w:shd w:val="clear" w:color="auto" w:fill="00B0F0"/>
          </w:tcPr>
          <w:p w14:paraId="7655160A" w14:textId="22C1F875" w:rsidR="1880A041" w:rsidRDefault="1880A041" w:rsidP="1880A041">
            <w:pPr>
              <w:spacing w:after="0" w:line="240" w:lineRule="auto"/>
              <w:jc w:val="center"/>
              <w:rPr>
                <w:rFonts w:ascii="Calibri Light" w:eastAsia="Calibri Light" w:hAnsi="Calibri Light" w:cs="Calibri Light"/>
                <w:color w:val="0D0D0D" w:themeColor="text1" w:themeTint="F2"/>
              </w:rPr>
            </w:pPr>
            <w:r w:rsidRPr="1880A041">
              <w:rPr>
                <w:rFonts w:ascii="Calibri Light" w:eastAsia="Calibri Light" w:hAnsi="Calibri Light" w:cs="Calibri Light"/>
                <w:color w:val="0D0D0D" w:themeColor="text1" w:themeTint="F2"/>
              </w:rPr>
              <w:t>86% </w:t>
            </w:r>
          </w:p>
        </w:tc>
        <w:tc>
          <w:tcPr>
            <w:tcW w:w="900" w:type="dxa"/>
            <w:tcBorders>
              <w:top w:val="single" w:sz="6" w:space="0" w:color="auto"/>
              <w:left w:val="single" w:sz="6" w:space="0" w:color="auto"/>
              <w:bottom w:val="single" w:sz="6" w:space="0" w:color="auto"/>
              <w:right w:val="single" w:sz="6" w:space="0" w:color="auto"/>
            </w:tcBorders>
            <w:shd w:val="clear" w:color="auto" w:fill="FF0000"/>
          </w:tcPr>
          <w:p w14:paraId="35F3C328" w14:textId="4C983A7D" w:rsidR="1880A041" w:rsidRDefault="1880A041" w:rsidP="1880A041">
            <w:pPr>
              <w:spacing w:after="0" w:line="240" w:lineRule="auto"/>
              <w:jc w:val="center"/>
              <w:rPr>
                <w:rFonts w:ascii="Calibri Light" w:eastAsia="Calibri Light" w:hAnsi="Calibri Light" w:cs="Calibri Light"/>
                <w:color w:val="0D0D0D" w:themeColor="text1" w:themeTint="F2"/>
              </w:rPr>
            </w:pPr>
            <w:r w:rsidRPr="1880A041">
              <w:rPr>
                <w:rFonts w:ascii="Calibri Light" w:eastAsia="Calibri Light" w:hAnsi="Calibri Light" w:cs="Calibri Light"/>
                <w:color w:val="0D0D0D" w:themeColor="text1" w:themeTint="F2"/>
              </w:rPr>
              <w:t>71% </w:t>
            </w:r>
          </w:p>
        </w:tc>
        <w:tc>
          <w:tcPr>
            <w:tcW w:w="900" w:type="dxa"/>
            <w:tcBorders>
              <w:top w:val="single" w:sz="6" w:space="0" w:color="auto"/>
              <w:left w:val="single" w:sz="6" w:space="0" w:color="auto"/>
              <w:bottom w:val="single" w:sz="6" w:space="0" w:color="auto"/>
              <w:right w:val="single" w:sz="6" w:space="0" w:color="auto"/>
            </w:tcBorders>
            <w:shd w:val="clear" w:color="auto" w:fill="00B0F0"/>
          </w:tcPr>
          <w:p w14:paraId="170F8454" w14:textId="530A61A5" w:rsidR="1880A041" w:rsidRDefault="1880A041" w:rsidP="1880A041">
            <w:pPr>
              <w:spacing w:after="0" w:line="240" w:lineRule="auto"/>
              <w:jc w:val="center"/>
              <w:rPr>
                <w:rFonts w:ascii="Calibri Light" w:eastAsia="Calibri Light" w:hAnsi="Calibri Light" w:cs="Calibri Light"/>
                <w:color w:val="0D0D0D" w:themeColor="text1" w:themeTint="F2"/>
              </w:rPr>
            </w:pPr>
            <w:r w:rsidRPr="1880A041">
              <w:rPr>
                <w:rFonts w:ascii="Calibri Light" w:eastAsia="Calibri Light" w:hAnsi="Calibri Light" w:cs="Calibri Light"/>
                <w:color w:val="0D0D0D" w:themeColor="text1" w:themeTint="F2"/>
              </w:rPr>
              <w:t>91% </w:t>
            </w:r>
          </w:p>
        </w:tc>
        <w:tc>
          <w:tcPr>
            <w:tcW w:w="900" w:type="dxa"/>
            <w:tcBorders>
              <w:top w:val="single" w:sz="6" w:space="0" w:color="auto"/>
              <w:left w:val="single" w:sz="6" w:space="0" w:color="auto"/>
              <w:bottom w:val="single" w:sz="6" w:space="0" w:color="auto"/>
              <w:right w:val="single" w:sz="6" w:space="0" w:color="auto"/>
            </w:tcBorders>
            <w:shd w:val="clear" w:color="auto" w:fill="FF0000"/>
          </w:tcPr>
          <w:p w14:paraId="212DBFD6" w14:textId="5424F579" w:rsidR="1880A041" w:rsidRDefault="1880A041" w:rsidP="1880A041">
            <w:pPr>
              <w:spacing w:after="0" w:line="240" w:lineRule="auto"/>
              <w:jc w:val="center"/>
              <w:rPr>
                <w:rFonts w:ascii="Calibri Light" w:eastAsia="Calibri Light" w:hAnsi="Calibri Light" w:cs="Calibri Light"/>
                <w:color w:val="0D0D0D" w:themeColor="text1" w:themeTint="F2"/>
              </w:rPr>
            </w:pPr>
            <w:r w:rsidRPr="1880A041">
              <w:rPr>
                <w:rFonts w:ascii="Calibri Light" w:eastAsia="Calibri Light" w:hAnsi="Calibri Light" w:cs="Calibri Light"/>
                <w:color w:val="0D0D0D" w:themeColor="text1" w:themeTint="F2"/>
              </w:rPr>
              <w:t>86% </w:t>
            </w:r>
          </w:p>
        </w:tc>
        <w:tc>
          <w:tcPr>
            <w:tcW w:w="900" w:type="dxa"/>
            <w:tcBorders>
              <w:top w:val="single" w:sz="6" w:space="0" w:color="auto"/>
              <w:left w:val="single" w:sz="6" w:space="0" w:color="auto"/>
              <w:bottom w:val="single" w:sz="6" w:space="0" w:color="auto"/>
              <w:right w:val="single" w:sz="6" w:space="0" w:color="auto"/>
            </w:tcBorders>
            <w:shd w:val="clear" w:color="auto" w:fill="00B0F0"/>
          </w:tcPr>
          <w:p w14:paraId="605C4615" w14:textId="6CD37022" w:rsidR="1880A041" w:rsidRDefault="1880A041" w:rsidP="1880A041">
            <w:pPr>
              <w:spacing w:after="0" w:line="240" w:lineRule="auto"/>
              <w:jc w:val="center"/>
              <w:rPr>
                <w:rFonts w:ascii="Calibri Light" w:eastAsia="Calibri Light" w:hAnsi="Calibri Light" w:cs="Calibri Light"/>
                <w:color w:val="0D0D0D" w:themeColor="text1" w:themeTint="F2"/>
              </w:rPr>
            </w:pPr>
            <w:r w:rsidRPr="1880A041">
              <w:rPr>
                <w:rFonts w:ascii="Calibri Light" w:eastAsia="Calibri Light" w:hAnsi="Calibri Light" w:cs="Calibri Light"/>
                <w:color w:val="0D0D0D" w:themeColor="text1" w:themeTint="F2"/>
              </w:rPr>
              <w:t>95% </w:t>
            </w:r>
          </w:p>
        </w:tc>
        <w:tc>
          <w:tcPr>
            <w:tcW w:w="615" w:type="dxa"/>
            <w:tcBorders>
              <w:top w:val="single" w:sz="6" w:space="0" w:color="auto"/>
              <w:left w:val="single" w:sz="6" w:space="0" w:color="auto"/>
              <w:bottom w:val="single" w:sz="6" w:space="0" w:color="auto"/>
              <w:right w:val="single" w:sz="6" w:space="0" w:color="auto"/>
            </w:tcBorders>
            <w:shd w:val="clear" w:color="auto" w:fill="FF0000"/>
          </w:tcPr>
          <w:p w14:paraId="78908676" w14:textId="539B4582" w:rsidR="1880A041" w:rsidRDefault="1880A041" w:rsidP="1880A041">
            <w:pPr>
              <w:spacing w:after="0" w:line="240" w:lineRule="auto"/>
              <w:jc w:val="center"/>
              <w:rPr>
                <w:rFonts w:ascii="Calibri Light" w:eastAsia="Calibri Light" w:hAnsi="Calibri Light" w:cs="Calibri Light"/>
                <w:color w:val="0D0D0D" w:themeColor="text1" w:themeTint="F2"/>
                <w:sz w:val="22"/>
                <w:szCs w:val="22"/>
              </w:rPr>
            </w:pPr>
            <w:r w:rsidRPr="1880A041">
              <w:rPr>
                <w:rFonts w:ascii="Calibri Light" w:eastAsia="Calibri Light" w:hAnsi="Calibri Light" w:cs="Calibri Light"/>
                <w:color w:val="0D0D0D" w:themeColor="text1" w:themeTint="F2"/>
                <w:sz w:val="22"/>
                <w:szCs w:val="22"/>
              </w:rPr>
              <w:t>52% </w:t>
            </w:r>
          </w:p>
        </w:tc>
        <w:tc>
          <w:tcPr>
            <w:tcW w:w="750" w:type="dxa"/>
            <w:tcBorders>
              <w:top w:val="single" w:sz="6" w:space="0" w:color="auto"/>
              <w:left w:val="single" w:sz="6" w:space="0" w:color="auto"/>
              <w:bottom w:val="single" w:sz="6" w:space="0" w:color="auto"/>
              <w:right w:val="single" w:sz="6" w:space="0" w:color="auto"/>
            </w:tcBorders>
            <w:shd w:val="clear" w:color="auto" w:fill="00B0F0"/>
          </w:tcPr>
          <w:p w14:paraId="4EC5057F" w14:textId="31E51A49" w:rsidR="1880A041" w:rsidRDefault="1880A041" w:rsidP="1880A041">
            <w:pPr>
              <w:spacing w:after="0" w:line="240" w:lineRule="auto"/>
              <w:jc w:val="center"/>
              <w:rPr>
                <w:rFonts w:ascii="Calibri Light" w:eastAsia="Calibri Light" w:hAnsi="Calibri Light" w:cs="Calibri Light"/>
                <w:color w:val="0D0D0D" w:themeColor="text1" w:themeTint="F2"/>
                <w:sz w:val="22"/>
                <w:szCs w:val="22"/>
              </w:rPr>
            </w:pPr>
            <w:r w:rsidRPr="1880A041">
              <w:rPr>
                <w:rFonts w:ascii="Calibri Light" w:eastAsia="Calibri Light" w:hAnsi="Calibri Light" w:cs="Calibri Light"/>
                <w:color w:val="0D0D0D" w:themeColor="text1" w:themeTint="F2"/>
                <w:sz w:val="22"/>
                <w:szCs w:val="22"/>
              </w:rPr>
              <w:t>77% </w:t>
            </w:r>
          </w:p>
        </w:tc>
        <w:tc>
          <w:tcPr>
            <w:tcW w:w="705" w:type="dxa"/>
            <w:gridSpan w:val="2"/>
            <w:tcBorders>
              <w:top w:val="single" w:sz="6" w:space="0" w:color="auto"/>
              <w:left w:val="single" w:sz="6" w:space="0" w:color="auto"/>
              <w:bottom w:val="single" w:sz="6" w:space="0" w:color="auto"/>
              <w:right w:val="single" w:sz="6" w:space="0" w:color="auto"/>
            </w:tcBorders>
            <w:shd w:val="clear" w:color="auto" w:fill="FF0000"/>
          </w:tcPr>
          <w:p w14:paraId="01782716" w14:textId="77491649" w:rsidR="1880A041" w:rsidRDefault="1880A041" w:rsidP="1880A041">
            <w:pPr>
              <w:spacing w:after="0" w:line="240" w:lineRule="auto"/>
              <w:jc w:val="center"/>
              <w:rPr>
                <w:rFonts w:ascii="Calibri Light" w:eastAsia="Calibri Light" w:hAnsi="Calibri Light" w:cs="Calibri Light"/>
                <w:color w:val="0D0D0D" w:themeColor="text1" w:themeTint="F2"/>
                <w:sz w:val="22"/>
                <w:szCs w:val="22"/>
              </w:rPr>
            </w:pPr>
            <w:r w:rsidRPr="1880A041">
              <w:rPr>
                <w:rFonts w:ascii="Calibri Light" w:eastAsia="Calibri Light" w:hAnsi="Calibri Light" w:cs="Calibri Light"/>
                <w:color w:val="0D0D0D" w:themeColor="text1" w:themeTint="F2"/>
                <w:sz w:val="22"/>
                <w:szCs w:val="22"/>
              </w:rPr>
              <w:t>67% </w:t>
            </w:r>
          </w:p>
        </w:tc>
        <w:tc>
          <w:tcPr>
            <w:tcW w:w="660" w:type="dxa"/>
            <w:tcBorders>
              <w:top w:val="single" w:sz="6" w:space="0" w:color="auto"/>
              <w:left w:val="single" w:sz="6" w:space="0" w:color="auto"/>
              <w:bottom w:val="single" w:sz="6" w:space="0" w:color="auto"/>
              <w:right w:val="single" w:sz="6" w:space="0" w:color="auto"/>
            </w:tcBorders>
            <w:shd w:val="clear" w:color="auto" w:fill="00B0F0"/>
          </w:tcPr>
          <w:p w14:paraId="3FD3B959" w14:textId="7B7A6139" w:rsidR="1880A041" w:rsidRDefault="1880A041" w:rsidP="1880A041">
            <w:pPr>
              <w:spacing w:after="0" w:line="240" w:lineRule="auto"/>
              <w:jc w:val="center"/>
              <w:rPr>
                <w:rFonts w:ascii="Calibri Light" w:eastAsia="Calibri Light" w:hAnsi="Calibri Light" w:cs="Calibri Light"/>
                <w:color w:val="0D0D0D" w:themeColor="text1" w:themeTint="F2"/>
                <w:sz w:val="22"/>
                <w:szCs w:val="22"/>
              </w:rPr>
            </w:pPr>
            <w:r w:rsidRPr="1880A041">
              <w:rPr>
                <w:rFonts w:ascii="Calibri Light" w:eastAsia="Calibri Light" w:hAnsi="Calibri Light" w:cs="Calibri Light"/>
                <w:color w:val="0D0D0D" w:themeColor="text1" w:themeTint="F2"/>
                <w:sz w:val="22"/>
                <w:szCs w:val="22"/>
              </w:rPr>
              <w:t>77% </w:t>
            </w:r>
          </w:p>
        </w:tc>
      </w:tr>
    </w:tbl>
    <w:p w14:paraId="7F00ED20" w14:textId="48F409BF" w:rsidR="10D55F5E" w:rsidRDefault="10D55F5E" w:rsidP="1880A041">
      <w:pPr>
        <w:spacing w:after="0" w:line="240" w:lineRule="auto"/>
        <w:rPr>
          <w:rFonts w:ascii="Calibri" w:eastAsia="Calibri" w:hAnsi="Calibri" w:cs="Calibri"/>
          <w:color w:val="000000" w:themeColor="text1"/>
          <w:sz w:val="22"/>
          <w:szCs w:val="22"/>
        </w:rPr>
      </w:pPr>
      <w:r w:rsidRPr="1880A041">
        <w:rPr>
          <w:rFonts w:ascii="Calibri" w:eastAsia="Calibri" w:hAnsi="Calibri" w:cs="Calibri"/>
          <w:color w:val="000000" w:themeColor="text1"/>
          <w:sz w:val="22"/>
          <w:szCs w:val="22"/>
        </w:rPr>
        <w:t> </w:t>
      </w:r>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2775"/>
        <w:gridCol w:w="3060"/>
        <w:gridCol w:w="3150"/>
      </w:tblGrid>
      <w:tr w:rsidR="1880A041" w14:paraId="13127864" w14:textId="77777777" w:rsidTr="1880A041">
        <w:trPr>
          <w:trHeight w:val="300"/>
        </w:trPr>
        <w:tc>
          <w:tcPr>
            <w:tcW w:w="2775" w:type="dxa"/>
            <w:tcBorders>
              <w:top w:val="single" w:sz="6" w:space="0" w:color="auto"/>
              <w:left w:val="single" w:sz="6" w:space="0" w:color="auto"/>
              <w:bottom w:val="single" w:sz="6" w:space="0" w:color="auto"/>
              <w:right w:val="single" w:sz="6" w:space="0" w:color="auto"/>
            </w:tcBorders>
          </w:tcPr>
          <w:p w14:paraId="7E37CF14" w14:textId="67FF8597" w:rsidR="1880A041" w:rsidRDefault="1880A041" w:rsidP="1880A041">
            <w:pPr>
              <w:spacing w:after="0" w:line="240" w:lineRule="auto"/>
              <w:rPr>
                <w:rFonts w:ascii="Calibri Light" w:eastAsia="Calibri Light" w:hAnsi="Calibri Light" w:cs="Calibri Light"/>
                <w:color w:val="0D0D0D" w:themeColor="text1" w:themeTint="F2"/>
                <w:sz w:val="22"/>
                <w:szCs w:val="22"/>
              </w:rPr>
            </w:pPr>
            <w:r w:rsidRPr="1880A041">
              <w:rPr>
                <w:rFonts w:ascii="Calibri Light" w:eastAsia="Calibri Light" w:hAnsi="Calibri Light" w:cs="Calibri Light"/>
                <w:color w:val="0D0D0D" w:themeColor="text1" w:themeTint="F2"/>
                <w:sz w:val="22"/>
                <w:szCs w:val="22"/>
              </w:rPr>
              <w:t>  </w:t>
            </w:r>
          </w:p>
        </w:tc>
        <w:tc>
          <w:tcPr>
            <w:tcW w:w="6210" w:type="dxa"/>
            <w:gridSpan w:val="2"/>
            <w:tcBorders>
              <w:top w:val="single" w:sz="6" w:space="0" w:color="auto"/>
              <w:left w:val="single" w:sz="6" w:space="0" w:color="auto"/>
              <w:bottom w:val="single" w:sz="6" w:space="0" w:color="auto"/>
              <w:right w:val="single" w:sz="6" w:space="0" w:color="auto"/>
            </w:tcBorders>
          </w:tcPr>
          <w:p w14:paraId="44626025" w14:textId="4F406BC8" w:rsidR="1880A041" w:rsidRDefault="1880A041" w:rsidP="1880A041">
            <w:pPr>
              <w:spacing w:after="0" w:line="240" w:lineRule="auto"/>
              <w:jc w:val="center"/>
              <w:rPr>
                <w:rFonts w:ascii="Calibri Light" w:eastAsia="Calibri Light" w:hAnsi="Calibri Light" w:cs="Calibri Light"/>
                <w:color w:val="0D0D0D" w:themeColor="text1" w:themeTint="F2"/>
                <w:sz w:val="22"/>
                <w:szCs w:val="22"/>
              </w:rPr>
            </w:pPr>
            <w:r w:rsidRPr="1880A041">
              <w:rPr>
                <w:rFonts w:ascii="Calibri Light" w:eastAsia="Calibri Light" w:hAnsi="Calibri Light" w:cs="Calibri Light"/>
                <w:color w:val="0D0D0D" w:themeColor="text1" w:themeTint="F2"/>
                <w:sz w:val="22"/>
                <w:szCs w:val="22"/>
              </w:rPr>
              <w:t>All Above Areas  </w:t>
            </w:r>
          </w:p>
        </w:tc>
      </w:tr>
      <w:tr w:rsidR="1880A041" w14:paraId="5B115BA7" w14:textId="77777777" w:rsidTr="1880A041">
        <w:trPr>
          <w:trHeight w:val="300"/>
        </w:trPr>
        <w:tc>
          <w:tcPr>
            <w:tcW w:w="2775" w:type="dxa"/>
            <w:tcBorders>
              <w:top w:val="single" w:sz="6" w:space="0" w:color="auto"/>
              <w:left w:val="single" w:sz="6" w:space="0" w:color="auto"/>
              <w:bottom w:val="single" w:sz="6" w:space="0" w:color="auto"/>
              <w:right w:val="single" w:sz="6" w:space="0" w:color="auto"/>
            </w:tcBorders>
          </w:tcPr>
          <w:p w14:paraId="5667FC60" w14:textId="256EBD43" w:rsidR="1880A041" w:rsidRDefault="1880A041" w:rsidP="1880A041">
            <w:pPr>
              <w:spacing w:after="0" w:line="240" w:lineRule="auto"/>
              <w:rPr>
                <w:rFonts w:ascii="Calibri Light" w:eastAsia="Calibri Light" w:hAnsi="Calibri Light" w:cs="Calibri Light"/>
                <w:color w:val="0D0D0D" w:themeColor="text1" w:themeTint="F2"/>
                <w:sz w:val="22"/>
                <w:szCs w:val="22"/>
              </w:rPr>
            </w:pPr>
            <w:r w:rsidRPr="1880A041">
              <w:rPr>
                <w:rFonts w:ascii="Calibri Light" w:eastAsia="Calibri Light" w:hAnsi="Calibri Light" w:cs="Calibri Light"/>
                <w:color w:val="0D0D0D" w:themeColor="text1" w:themeTint="F2"/>
                <w:sz w:val="22"/>
                <w:szCs w:val="22"/>
              </w:rPr>
              <w:t>  </w:t>
            </w:r>
          </w:p>
        </w:tc>
        <w:tc>
          <w:tcPr>
            <w:tcW w:w="3060" w:type="dxa"/>
            <w:tcBorders>
              <w:top w:val="single" w:sz="6" w:space="0" w:color="auto"/>
              <w:left w:val="single" w:sz="6" w:space="0" w:color="auto"/>
              <w:bottom w:val="single" w:sz="6" w:space="0" w:color="auto"/>
              <w:right w:val="single" w:sz="6" w:space="0" w:color="auto"/>
            </w:tcBorders>
          </w:tcPr>
          <w:p w14:paraId="11243635" w14:textId="12F62D57" w:rsidR="1880A041" w:rsidRDefault="1880A041" w:rsidP="1880A041">
            <w:pPr>
              <w:spacing w:after="0" w:line="240" w:lineRule="auto"/>
              <w:rPr>
                <w:rFonts w:ascii="Calibri Light" w:eastAsia="Calibri Light" w:hAnsi="Calibri Light" w:cs="Calibri Light"/>
                <w:color w:val="0D0D0D" w:themeColor="text1" w:themeTint="F2"/>
                <w:sz w:val="22"/>
                <w:szCs w:val="22"/>
              </w:rPr>
            </w:pPr>
            <w:r w:rsidRPr="1880A041">
              <w:rPr>
                <w:rFonts w:ascii="Calibri Light" w:eastAsia="Calibri Light" w:hAnsi="Calibri Light" w:cs="Calibri Light"/>
                <w:color w:val="0D0D0D" w:themeColor="text1" w:themeTint="F2"/>
                <w:sz w:val="22"/>
                <w:szCs w:val="22"/>
              </w:rPr>
              <w:t>PP </w:t>
            </w:r>
          </w:p>
        </w:tc>
        <w:tc>
          <w:tcPr>
            <w:tcW w:w="3150" w:type="dxa"/>
            <w:tcBorders>
              <w:top w:val="single" w:sz="6" w:space="0" w:color="auto"/>
              <w:left w:val="single" w:sz="6" w:space="0" w:color="auto"/>
              <w:bottom w:val="single" w:sz="6" w:space="0" w:color="auto"/>
              <w:right w:val="single" w:sz="6" w:space="0" w:color="auto"/>
            </w:tcBorders>
          </w:tcPr>
          <w:p w14:paraId="5E4EDF10" w14:textId="508693EF" w:rsidR="1880A041" w:rsidRDefault="1880A041" w:rsidP="1880A041">
            <w:pPr>
              <w:spacing w:after="0" w:line="240" w:lineRule="auto"/>
              <w:rPr>
                <w:rFonts w:ascii="Calibri Light" w:eastAsia="Calibri Light" w:hAnsi="Calibri Light" w:cs="Calibri Light"/>
                <w:color w:val="0D0D0D" w:themeColor="text1" w:themeTint="F2"/>
                <w:sz w:val="22"/>
                <w:szCs w:val="22"/>
              </w:rPr>
            </w:pPr>
            <w:r w:rsidRPr="1880A041">
              <w:rPr>
                <w:rFonts w:ascii="Calibri Light" w:eastAsia="Calibri Light" w:hAnsi="Calibri Light" w:cs="Calibri Light"/>
                <w:color w:val="0D0D0D" w:themeColor="text1" w:themeTint="F2"/>
                <w:sz w:val="22"/>
                <w:szCs w:val="22"/>
              </w:rPr>
              <w:t>Non PP </w:t>
            </w:r>
          </w:p>
        </w:tc>
      </w:tr>
      <w:tr w:rsidR="1880A041" w14:paraId="522B1534" w14:textId="77777777" w:rsidTr="1880A041">
        <w:trPr>
          <w:trHeight w:val="300"/>
        </w:trPr>
        <w:tc>
          <w:tcPr>
            <w:tcW w:w="2775" w:type="dxa"/>
            <w:tcBorders>
              <w:top w:val="single" w:sz="6" w:space="0" w:color="auto"/>
              <w:left w:val="single" w:sz="6" w:space="0" w:color="auto"/>
              <w:bottom w:val="single" w:sz="6" w:space="0" w:color="auto"/>
              <w:right w:val="single" w:sz="6" w:space="0" w:color="auto"/>
            </w:tcBorders>
            <w:shd w:val="clear" w:color="auto" w:fill="FFE599"/>
          </w:tcPr>
          <w:p w14:paraId="3D17D62C" w14:textId="5E9C488C" w:rsidR="1880A041" w:rsidRDefault="1880A041" w:rsidP="1880A041">
            <w:pPr>
              <w:spacing w:after="0" w:line="240" w:lineRule="auto"/>
              <w:rPr>
                <w:rFonts w:ascii="Calibri Light" w:eastAsia="Calibri Light" w:hAnsi="Calibri Light" w:cs="Calibri Light"/>
                <w:color w:val="0D0D0D" w:themeColor="text1" w:themeTint="F2"/>
                <w:sz w:val="22"/>
                <w:szCs w:val="22"/>
              </w:rPr>
            </w:pPr>
            <w:r w:rsidRPr="1880A041">
              <w:rPr>
                <w:rFonts w:ascii="Calibri Light" w:eastAsia="Calibri Light" w:hAnsi="Calibri Light" w:cs="Calibri Light"/>
                <w:b/>
                <w:bCs/>
                <w:color w:val="0D0D0D" w:themeColor="text1" w:themeTint="F2"/>
                <w:sz w:val="22"/>
                <w:szCs w:val="22"/>
              </w:rPr>
              <w:t>YR</w:t>
            </w:r>
            <w:r w:rsidRPr="1880A041">
              <w:rPr>
                <w:rFonts w:ascii="Calibri Light" w:eastAsia="Calibri Light" w:hAnsi="Calibri Light" w:cs="Calibri Light"/>
                <w:color w:val="0D0D0D" w:themeColor="text1" w:themeTint="F2"/>
                <w:sz w:val="22"/>
                <w:szCs w:val="22"/>
              </w:rPr>
              <w:t> </w:t>
            </w:r>
          </w:p>
        </w:tc>
        <w:tc>
          <w:tcPr>
            <w:tcW w:w="3060" w:type="dxa"/>
            <w:tcBorders>
              <w:top w:val="single" w:sz="6" w:space="0" w:color="auto"/>
              <w:left w:val="single" w:sz="6" w:space="0" w:color="auto"/>
              <w:bottom w:val="single" w:sz="6" w:space="0" w:color="auto"/>
              <w:right w:val="single" w:sz="6" w:space="0" w:color="auto"/>
            </w:tcBorders>
            <w:shd w:val="clear" w:color="auto" w:fill="FF0000"/>
          </w:tcPr>
          <w:p w14:paraId="45D463B5" w14:textId="23CD3FB2" w:rsidR="1880A041" w:rsidRDefault="1880A041" w:rsidP="1880A041">
            <w:pPr>
              <w:spacing w:after="0" w:line="240" w:lineRule="auto"/>
              <w:jc w:val="center"/>
              <w:rPr>
                <w:rFonts w:ascii="Calibri Light" w:eastAsia="Calibri Light" w:hAnsi="Calibri Light" w:cs="Calibri Light"/>
                <w:color w:val="0D0D0D" w:themeColor="text1" w:themeTint="F2"/>
              </w:rPr>
            </w:pPr>
            <w:r w:rsidRPr="1880A041">
              <w:rPr>
                <w:rFonts w:ascii="Calibri Light" w:eastAsia="Calibri Light" w:hAnsi="Calibri Light" w:cs="Calibri Light"/>
                <w:color w:val="0D0D0D" w:themeColor="text1" w:themeTint="F2"/>
              </w:rPr>
              <w:t>52% </w:t>
            </w:r>
          </w:p>
        </w:tc>
        <w:tc>
          <w:tcPr>
            <w:tcW w:w="3150" w:type="dxa"/>
            <w:tcBorders>
              <w:top w:val="single" w:sz="6" w:space="0" w:color="auto"/>
              <w:left w:val="single" w:sz="6" w:space="0" w:color="auto"/>
              <w:bottom w:val="single" w:sz="6" w:space="0" w:color="auto"/>
              <w:right w:val="single" w:sz="6" w:space="0" w:color="auto"/>
            </w:tcBorders>
            <w:shd w:val="clear" w:color="auto" w:fill="00B0F0"/>
          </w:tcPr>
          <w:p w14:paraId="31BFF681" w14:textId="687B3781" w:rsidR="1880A041" w:rsidRDefault="1880A041" w:rsidP="1880A041">
            <w:pPr>
              <w:spacing w:after="0" w:line="240" w:lineRule="auto"/>
              <w:jc w:val="center"/>
              <w:rPr>
                <w:rFonts w:ascii="Calibri Light" w:eastAsia="Calibri Light" w:hAnsi="Calibri Light" w:cs="Calibri Light"/>
                <w:color w:val="0D0D0D" w:themeColor="text1" w:themeTint="F2"/>
              </w:rPr>
            </w:pPr>
            <w:r w:rsidRPr="1880A041">
              <w:rPr>
                <w:rFonts w:ascii="Calibri Light" w:eastAsia="Calibri Light" w:hAnsi="Calibri Light" w:cs="Calibri Light"/>
                <w:color w:val="0D0D0D" w:themeColor="text1" w:themeTint="F2"/>
              </w:rPr>
              <w:t>73% </w:t>
            </w:r>
          </w:p>
        </w:tc>
      </w:tr>
    </w:tbl>
    <w:p w14:paraId="294DA8B0" w14:textId="77EDD063" w:rsidR="10D55F5E" w:rsidRDefault="10D55F5E" w:rsidP="1880A041">
      <w:pPr>
        <w:spacing w:after="0" w:line="240" w:lineRule="auto"/>
        <w:rPr>
          <w:rFonts w:ascii="Segoe UI" w:eastAsia="Segoe UI" w:hAnsi="Segoe UI" w:cs="Segoe UI"/>
          <w:color w:val="000000" w:themeColor="text1"/>
          <w:sz w:val="18"/>
          <w:szCs w:val="18"/>
        </w:rPr>
      </w:pPr>
      <w:r w:rsidRPr="1880A041">
        <w:rPr>
          <w:rFonts w:ascii="Segoe UI" w:eastAsia="Segoe UI" w:hAnsi="Segoe UI" w:cs="Segoe UI"/>
          <w:color w:val="000000" w:themeColor="text1"/>
          <w:sz w:val="18"/>
          <w:szCs w:val="18"/>
        </w:rPr>
        <w:t> </w:t>
      </w:r>
    </w:p>
    <w:p w14:paraId="56594574" w14:textId="6C411A15" w:rsidR="1880A041" w:rsidRDefault="1880A041" w:rsidP="1880A041">
      <w:pPr>
        <w:spacing w:after="0" w:line="240" w:lineRule="auto"/>
        <w:jc w:val="both"/>
        <w:rPr>
          <w:rFonts w:ascii="Calibri" w:eastAsia="Calibri" w:hAnsi="Calibri" w:cs="Calibri"/>
          <w:color w:val="0D0D0D" w:themeColor="text1" w:themeTint="F2"/>
          <w:sz w:val="22"/>
          <w:szCs w:val="22"/>
        </w:rPr>
      </w:pPr>
    </w:p>
    <w:p w14:paraId="65098B5F" w14:textId="4DCC78D0" w:rsidR="10D55F5E" w:rsidRDefault="10D55F5E" w:rsidP="1880A041">
      <w:pPr>
        <w:spacing w:before="120"/>
        <w:rPr>
          <w:rFonts w:eastAsia="Arial" w:cs="Arial"/>
          <w:color w:val="0D0D0D" w:themeColor="text1" w:themeTint="F2"/>
        </w:rPr>
      </w:pPr>
      <w:r w:rsidRPr="1880A041">
        <w:rPr>
          <w:rFonts w:eastAsia="Arial" w:cs="Arial"/>
          <w:color w:val="0D0D0D" w:themeColor="text1" w:themeTint="F2"/>
        </w:rPr>
        <w:t>Our assessment of the reasons for these outcomes points primarily to Covid-19 impact, which disrupted all our subject areas to varying degrees. As evidenced in schools across the country, school closure was most detrimental to our disadvantaged pupils, and they were not able to benefit from our pupil premium funded improvements to teaching and targeted interventions to the degree we had intended. The impact was mitigated by our resolution to maintain a high quality curriculum, which is exciting and engaging whilst still focuses on the basics. The impact of covid and reduced social interactions in very young children is still seen in EYFS and year 1.</w:t>
      </w:r>
    </w:p>
    <w:p w14:paraId="083BB411" w14:textId="5F1843F1" w:rsidR="10D55F5E" w:rsidRDefault="10D55F5E" w:rsidP="1880A041">
      <w:pPr>
        <w:spacing w:before="120"/>
        <w:rPr>
          <w:rFonts w:eastAsia="Arial" w:cs="Arial"/>
          <w:color w:val="0D0D0D" w:themeColor="text1" w:themeTint="F2"/>
        </w:rPr>
      </w:pPr>
      <w:r w:rsidRPr="1880A041">
        <w:rPr>
          <w:rFonts w:eastAsia="Arial" w:cs="Arial"/>
          <w:color w:val="0D0D0D" w:themeColor="text1" w:themeTint="F2"/>
        </w:rPr>
        <w:t xml:space="preserve">Attendance of all children was below the national average last year however Attendance of pupil premium children was slightly higher than non-pupil premium children last year. </w:t>
      </w:r>
    </w:p>
    <w:p w14:paraId="2524F8CC" w14:textId="25EF13D9" w:rsidR="10D55F5E" w:rsidRDefault="10D55F5E" w:rsidP="1880A041">
      <w:pPr>
        <w:spacing w:before="120"/>
        <w:rPr>
          <w:rFonts w:eastAsia="Arial" w:cs="Arial"/>
          <w:color w:val="0D0D0D" w:themeColor="text1" w:themeTint="F2"/>
        </w:rPr>
      </w:pPr>
      <w:r>
        <w:rPr>
          <w:noProof/>
        </w:rPr>
        <w:drawing>
          <wp:inline distT="0" distB="0" distL="0" distR="0" wp14:anchorId="6B33B697" wp14:editId="574EC64E">
            <wp:extent cx="5724524" cy="666750"/>
            <wp:effectExtent l="0" t="0" r="0" b="0"/>
            <wp:docPr id="1135534708" name="Picture 11355347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extLst>
                        <a:ext uri="{28A0092B-C50C-407E-A947-70E740481C1C}">
                          <a14:useLocalDpi xmlns:a14="http://schemas.microsoft.com/office/drawing/2010/main" val="0"/>
                        </a:ext>
                      </a:extLst>
                    </a:blip>
                    <a:stretch>
                      <a:fillRect/>
                    </a:stretch>
                  </pic:blipFill>
                  <pic:spPr>
                    <a:xfrm>
                      <a:off x="0" y="0"/>
                      <a:ext cx="5724524" cy="666750"/>
                    </a:xfrm>
                    <a:prstGeom prst="rect">
                      <a:avLst/>
                    </a:prstGeom>
                  </pic:spPr>
                </pic:pic>
              </a:graphicData>
            </a:graphic>
          </wp:inline>
        </w:drawing>
      </w:r>
    </w:p>
    <w:p w14:paraId="0108A197" w14:textId="59FE0708" w:rsidR="10D55F5E" w:rsidRDefault="10D55F5E" w:rsidP="1880A041">
      <w:pPr>
        <w:rPr>
          <w:rFonts w:eastAsia="Arial" w:cs="Arial"/>
          <w:color w:val="0D0D0D" w:themeColor="text1" w:themeTint="F2"/>
        </w:rPr>
      </w:pPr>
      <w:r w:rsidRPr="1880A041">
        <w:rPr>
          <w:rFonts w:eastAsia="Arial" w:cs="Arial"/>
          <w:color w:val="0D0D0D" w:themeColor="text1" w:themeTint="F2"/>
        </w:rPr>
        <w:lastRenderedPageBreak/>
        <w:t xml:space="preserve">Our assessments and observations indicated that pupil behaviour, wellbeing and mental health were significantly impacted over the last  few years, primarily due to COVID-19-related issues. The impact was particularly acute for disadvantaged pupils. We used pupil premium funding to provide wellbeing support for all pupils, and targeted interventions where required. </w:t>
      </w:r>
    </w:p>
    <w:p w14:paraId="4D76AD5C" w14:textId="52785632" w:rsidR="10D55F5E" w:rsidRDefault="10D55F5E" w:rsidP="1880A041">
      <w:pPr>
        <w:rPr>
          <w:rFonts w:eastAsia="Arial" w:cs="Arial"/>
          <w:color w:val="0D0D0D" w:themeColor="text1" w:themeTint="F2"/>
        </w:rPr>
      </w:pPr>
      <w:r w:rsidRPr="1880A041">
        <w:rPr>
          <w:rFonts w:eastAsia="Arial" w:cs="Arial"/>
          <w:color w:val="0D0D0D" w:themeColor="text1" w:themeTint="F2"/>
        </w:rPr>
        <w:t>Behaviour monitoring from last year shows a reduction in higher level pupil incidents, and a significant impact from the two support mentors who operate from the ‘calm room’. We are building on that approach with the activities detailed in this plan.</w:t>
      </w:r>
    </w:p>
    <w:p w14:paraId="2A7D5548" w14:textId="0199D85C" w:rsidR="00E66558" w:rsidRDefault="006D6372" w:rsidP="00A82A98">
      <w:pPr>
        <w:pStyle w:val="Heading2"/>
      </w:pPr>
      <w:r>
        <w:t>E</w:t>
      </w:r>
      <w:r w:rsidR="009D71E8">
        <w:t>xternally provided programmes</w:t>
      </w:r>
    </w:p>
    <w:p w14:paraId="188578FB" w14:textId="3B6CACD6" w:rsidR="0008384B" w:rsidRDefault="2058C1C3" w:rsidP="1880A041">
      <w:r w:rsidRPr="1880A041">
        <w:rPr>
          <w:i/>
          <w:iCs/>
        </w:rPr>
        <w:t>Nil</w:t>
      </w:r>
    </w:p>
    <w:p w14:paraId="01F0D165" w14:textId="66B306A1" w:rsidR="0008384B" w:rsidRDefault="0008384B" w:rsidP="1880A041"/>
    <w:bookmarkEnd w:id="15"/>
    <w:bookmarkEnd w:id="16"/>
    <w:bookmarkEnd w:id="17"/>
    <w:sectPr w:rsidR="0008384B">
      <w:headerReference w:type="default" r:id="rId24"/>
      <w:footerReference w:type="default" r:id="rId25"/>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1F4132" w14:textId="77777777" w:rsidR="00C23015" w:rsidRDefault="00C23015">
      <w:pPr>
        <w:spacing w:after="0" w:line="240" w:lineRule="auto"/>
      </w:pPr>
      <w:r>
        <w:separator/>
      </w:r>
    </w:p>
  </w:endnote>
  <w:endnote w:type="continuationSeparator" w:id="0">
    <w:p w14:paraId="73AF088D" w14:textId="77777777" w:rsidR="00C23015" w:rsidRDefault="00C23015">
      <w:pPr>
        <w:spacing w:after="0" w:line="240" w:lineRule="auto"/>
      </w:pPr>
      <w:r>
        <w:continuationSeparator/>
      </w:r>
    </w:p>
  </w:endnote>
  <w:endnote w:type="continuationNotice" w:id="1">
    <w:p w14:paraId="0C0C345E" w14:textId="77777777" w:rsidR="00C23015" w:rsidRDefault="00C2301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Roboto">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E" w14:textId="5042957E" w:rsidR="008E55FD" w:rsidRDefault="008E55FD">
    <w:pPr>
      <w:pStyle w:val="Footer"/>
      <w:ind w:firstLine="4513"/>
    </w:pPr>
    <w:r>
      <w:fldChar w:fldCharType="begin"/>
    </w:r>
    <w:r>
      <w:instrText xml:space="preserve"> PAGE </w:instrText>
    </w:r>
    <w:r>
      <w:fldChar w:fldCharType="separate"/>
    </w:r>
    <w:r w:rsidR="008C040F">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32C10B" w14:textId="77777777" w:rsidR="00C23015" w:rsidRDefault="00C23015">
      <w:pPr>
        <w:spacing w:after="0" w:line="240" w:lineRule="auto"/>
      </w:pPr>
      <w:r>
        <w:separator/>
      </w:r>
    </w:p>
  </w:footnote>
  <w:footnote w:type="continuationSeparator" w:id="0">
    <w:p w14:paraId="63B0851D" w14:textId="77777777" w:rsidR="00C23015" w:rsidRDefault="00C23015">
      <w:pPr>
        <w:spacing w:after="0" w:line="240" w:lineRule="auto"/>
      </w:pPr>
      <w:r>
        <w:continuationSeparator/>
      </w:r>
    </w:p>
  </w:footnote>
  <w:footnote w:type="continuationNotice" w:id="1">
    <w:p w14:paraId="537B29EC" w14:textId="77777777" w:rsidR="00C23015" w:rsidRDefault="00C2301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C" w14:textId="77777777" w:rsidR="008E55FD" w:rsidRDefault="008E55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836B1"/>
    <w:multiLevelType w:val="multilevel"/>
    <w:tmpl w:val="F1722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4"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6"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393A23AF"/>
    <w:multiLevelType w:val="hybridMultilevel"/>
    <w:tmpl w:val="6E88B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437A60BB"/>
    <w:multiLevelType w:val="hybridMultilevel"/>
    <w:tmpl w:val="4A4247AE"/>
    <w:lvl w:ilvl="0" w:tplc="2ED4026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634A50C6"/>
    <w:multiLevelType w:val="hybridMultilevel"/>
    <w:tmpl w:val="FEB2B840"/>
    <w:lvl w:ilvl="0" w:tplc="F7C606D2">
      <w:start w:val="1"/>
      <w:numFmt w:val="bullet"/>
      <w:lvlText w:val=""/>
      <w:lvlJc w:val="left"/>
      <w:pPr>
        <w:ind w:left="720" w:hanging="360"/>
      </w:pPr>
      <w:rPr>
        <w:rFonts w:ascii="Symbol" w:hAnsi="Symbol" w:hint="default"/>
      </w:rPr>
    </w:lvl>
    <w:lvl w:ilvl="1" w:tplc="1494F636">
      <w:start w:val="1"/>
      <w:numFmt w:val="bullet"/>
      <w:lvlText w:val="o"/>
      <w:lvlJc w:val="left"/>
      <w:pPr>
        <w:ind w:left="1440" w:hanging="360"/>
      </w:pPr>
      <w:rPr>
        <w:rFonts w:ascii="Courier New" w:hAnsi="Courier New" w:hint="default"/>
      </w:rPr>
    </w:lvl>
    <w:lvl w:ilvl="2" w:tplc="F7D2EF3C">
      <w:start w:val="1"/>
      <w:numFmt w:val="bullet"/>
      <w:lvlText w:val=""/>
      <w:lvlJc w:val="left"/>
      <w:pPr>
        <w:ind w:left="2160" w:hanging="360"/>
      </w:pPr>
      <w:rPr>
        <w:rFonts w:ascii="Wingdings" w:hAnsi="Wingdings" w:hint="default"/>
      </w:rPr>
    </w:lvl>
    <w:lvl w:ilvl="3" w:tplc="9B187FD4">
      <w:start w:val="1"/>
      <w:numFmt w:val="bullet"/>
      <w:lvlText w:val=""/>
      <w:lvlJc w:val="left"/>
      <w:pPr>
        <w:ind w:left="2880" w:hanging="360"/>
      </w:pPr>
      <w:rPr>
        <w:rFonts w:ascii="Symbol" w:hAnsi="Symbol" w:hint="default"/>
      </w:rPr>
    </w:lvl>
    <w:lvl w:ilvl="4" w:tplc="7E420D40">
      <w:start w:val="1"/>
      <w:numFmt w:val="bullet"/>
      <w:lvlText w:val="o"/>
      <w:lvlJc w:val="left"/>
      <w:pPr>
        <w:ind w:left="3600" w:hanging="360"/>
      </w:pPr>
      <w:rPr>
        <w:rFonts w:ascii="Courier New" w:hAnsi="Courier New" w:hint="default"/>
      </w:rPr>
    </w:lvl>
    <w:lvl w:ilvl="5" w:tplc="C958B02E">
      <w:start w:val="1"/>
      <w:numFmt w:val="bullet"/>
      <w:lvlText w:val=""/>
      <w:lvlJc w:val="left"/>
      <w:pPr>
        <w:ind w:left="4320" w:hanging="360"/>
      </w:pPr>
      <w:rPr>
        <w:rFonts w:ascii="Wingdings" w:hAnsi="Wingdings" w:hint="default"/>
      </w:rPr>
    </w:lvl>
    <w:lvl w:ilvl="6" w:tplc="462425D8">
      <w:start w:val="1"/>
      <w:numFmt w:val="bullet"/>
      <w:lvlText w:val=""/>
      <w:lvlJc w:val="left"/>
      <w:pPr>
        <w:ind w:left="5040" w:hanging="360"/>
      </w:pPr>
      <w:rPr>
        <w:rFonts w:ascii="Symbol" w:hAnsi="Symbol" w:hint="default"/>
      </w:rPr>
    </w:lvl>
    <w:lvl w:ilvl="7" w:tplc="3640ABDC">
      <w:start w:val="1"/>
      <w:numFmt w:val="bullet"/>
      <w:lvlText w:val="o"/>
      <w:lvlJc w:val="left"/>
      <w:pPr>
        <w:ind w:left="5760" w:hanging="360"/>
      </w:pPr>
      <w:rPr>
        <w:rFonts w:ascii="Courier New" w:hAnsi="Courier New" w:hint="default"/>
      </w:rPr>
    </w:lvl>
    <w:lvl w:ilvl="8" w:tplc="A22AA0B8">
      <w:start w:val="1"/>
      <w:numFmt w:val="bullet"/>
      <w:lvlText w:val=""/>
      <w:lvlJc w:val="left"/>
      <w:pPr>
        <w:ind w:left="6480" w:hanging="360"/>
      </w:pPr>
      <w:rPr>
        <w:rFonts w:ascii="Wingdings" w:hAnsi="Wingdings" w:hint="default"/>
      </w:rPr>
    </w:lvl>
  </w:abstractNum>
  <w:abstractNum w:abstractNumId="12"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4" w15:restartNumberingAfterBreak="0">
    <w:nsid w:val="6E807254"/>
    <w:multiLevelType w:val="hybridMultilevel"/>
    <w:tmpl w:val="88A001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6"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7"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7E4915C0"/>
    <w:multiLevelType w:val="hybridMultilevel"/>
    <w:tmpl w:val="2AA2EB42"/>
    <w:lvl w:ilvl="0" w:tplc="99606B84">
      <w:start w:val="2023"/>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6"/>
  </w:num>
  <w:num w:numId="5">
    <w:abstractNumId w:val="1"/>
  </w:num>
  <w:num w:numId="6">
    <w:abstractNumId w:val="8"/>
  </w:num>
  <w:num w:numId="7">
    <w:abstractNumId w:val="12"/>
  </w:num>
  <w:num w:numId="8">
    <w:abstractNumId w:val="17"/>
  </w:num>
  <w:num w:numId="9">
    <w:abstractNumId w:val="15"/>
  </w:num>
  <w:num w:numId="10">
    <w:abstractNumId w:val="13"/>
  </w:num>
  <w:num w:numId="11">
    <w:abstractNumId w:val="3"/>
  </w:num>
  <w:num w:numId="12">
    <w:abstractNumId w:val="16"/>
  </w:num>
  <w:num w:numId="13">
    <w:abstractNumId w:val="10"/>
  </w:num>
  <w:num w:numId="14">
    <w:abstractNumId w:val="9"/>
  </w:num>
  <w:num w:numId="15">
    <w:abstractNumId w:val="0"/>
  </w:num>
  <w:num w:numId="16">
    <w:abstractNumId w:val="14"/>
  </w:num>
  <w:num w:numId="17">
    <w:abstractNumId w:val="18"/>
  </w:num>
  <w:num w:numId="18">
    <w:abstractNumId w:val="7"/>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20"/>
  <w:autoHyphenation/>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558"/>
    <w:rsid w:val="00003A45"/>
    <w:rsid w:val="00023729"/>
    <w:rsid w:val="000243B4"/>
    <w:rsid w:val="0002530E"/>
    <w:rsid w:val="0002710D"/>
    <w:rsid w:val="00036678"/>
    <w:rsid w:val="000452EB"/>
    <w:rsid w:val="00045603"/>
    <w:rsid w:val="000463AE"/>
    <w:rsid w:val="000507A3"/>
    <w:rsid w:val="00060A62"/>
    <w:rsid w:val="000616AB"/>
    <w:rsid w:val="00064366"/>
    <w:rsid w:val="00066B73"/>
    <w:rsid w:val="00070880"/>
    <w:rsid w:val="00071481"/>
    <w:rsid w:val="00075FAE"/>
    <w:rsid w:val="00082F38"/>
    <w:rsid w:val="000837DB"/>
    <w:rsid w:val="0008384B"/>
    <w:rsid w:val="000929EC"/>
    <w:rsid w:val="00093CDE"/>
    <w:rsid w:val="000A5C58"/>
    <w:rsid w:val="000A6379"/>
    <w:rsid w:val="000B0D49"/>
    <w:rsid w:val="000B203E"/>
    <w:rsid w:val="000D22B0"/>
    <w:rsid w:val="000D35C9"/>
    <w:rsid w:val="000D520C"/>
    <w:rsid w:val="000D6596"/>
    <w:rsid w:val="000D6779"/>
    <w:rsid w:val="000E6DF0"/>
    <w:rsid w:val="00102E06"/>
    <w:rsid w:val="001037CB"/>
    <w:rsid w:val="0010629E"/>
    <w:rsid w:val="00114288"/>
    <w:rsid w:val="00115538"/>
    <w:rsid w:val="00116FA8"/>
    <w:rsid w:val="00120AB1"/>
    <w:rsid w:val="00123A7F"/>
    <w:rsid w:val="001278D0"/>
    <w:rsid w:val="00127F72"/>
    <w:rsid w:val="00140646"/>
    <w:rsid w:val="00147A4B"/>
    <w:rsid w:val="00152554"/>
    <w:rsid w:val="00155944"/>
    <w:rsid w:val="001559D7"/>
    <w:rsid w:val="0016523C"/>
    <w:rsid w:val="001671ED"/>
    <w:rsid w:val="00170714"/>
    <w:rsid w:val="0017264D"/>
    <w:rsid w:val="001727FA"/>
    <w:rsid w:val="00172B0F"/>
    <w:rsid w:val="00173D4C"/>
    <w:rsid w:val="00175882"/>
    <w:rsid w:val="001759B6"/>
    <w:rsid w:val="001761E3"/>
    <w:rsid w:val="00181A7E"/>
    <w:rsid w:val="00182FD8"/>
    <w:rsid w:val="00183218"/>
    <w:rsid w:val="00184079"/>
    <w:rsid w:val="00185988"/>
    <w:rsid w:val="00186666"/>
    <w:rsid w:val="001873B6"/>
    <w:rsid w:val="001901E6"/>
    <w:rsid w:val="00191305"/>
    <w:rsid w:val="001948FB"/>
    <w:rsid w:val="00195B55"/>
    <w:rsid w:val="001A2FE8"/>
    <w:rsid w:val="001A33AC"/>
    <w:rsid w:val="001C1C51"/>
    <w:rsid w:val="001D4FC9"/>
    <w:rsid w:val="001E0ECA"/>
    <w:rsid w:val="001E206F"/>
    <w:rsid w:val="001E5750"/>
    <w:rsid w:val="001E66BA"/>
    <w:rsid w:val="001E7739"/>
    <w:rsid w:val="001F3DB4"/>
    <w:rsid w:val="001F7564"/>
    <w:rsid w:val="00203DB9"/>
    <w:rsid w:val="00204F40"/>
    <w:rsid w:val="00205DEF"/>
    <w:rsid w:val="002112C3"/>
    <w:rsid w:val="002131E5"/>
    <w:rsid w:val="00216C8A"/>
    <w:rsid w:val="00226317"/>
    <w:rsid w:val="00231539"/>
    <w:rsid w:val="00242093"/>
    <w:rsid w:val="00243F22"/>
    <w:rsid w:val="002523E3"/>
    <w:rsid w:val="00252AD6"/>
    <w:rsid w:val="002542CE"/>
    <w:rsid w:val="00257A4E"/>
    <w:rsid w:val="00266FA5"/>
    <w:rsid w:val="00276FBA"/>
    <w:rsid w:val="00277665"/>
    <w:rsid w:val="002837AE"/>
    <w:rsid w:val="002920F4"/>
    <w:rsid w:val="002940F3"/>
    <w:rsid w:val="00295842"/>
    <w:rsid w:val="002B3574"/>
    <w:rsid w:val="002B6B74"/>
    <w:rsid w:val="002C6AE7"/>
    <w:rsid w:val="002D2D4B"/>
    <w:rsid w:val="002D3805"/>
    <w:rsid w:val="002E66AE"/>
    <w:rsid w:val="002E7763"/>
    <w:rsid w:val="002F4C6F"/>
    <w:rsid w:val="002F5011"/>
    <w:rsid w:val="002F5842"/>
    <w:rsid w:val="002F7847"/>
    <w:rsid w:val="00306CB7"/>
    <w:rsid w:val="003111F5"/>
    <w:rsid w:val="00317664"/>
    <w:rsid w:val="00336200"/>
    <w:rsid w:val="00337418"/>
    <w:rsid w:val="00351D83"/>
    <w:rsid w:val="00352197"/>
    <w:rsid w:val="00353E46"/>
    <w:rsid w:val="003576C4"/>
    <w:rsid w:val="0036277A"/>
    <w:rsid w:val="00366AB0"/>
    <w:rsid w:val="003700E8"/>
    <w:rsid w:val="0037437C"/>
    <w:rsid w:val="00380618"/>
    <w:rsid w:val="0038146B"/>
    <w:rsid w:val="0038340F"/>
    <w:rsid w:val="00384457"/>
    <w:rsid w:val="00384F24"/>
    <w:rsid w:val="003A32B2"/>
    <w:rsid w:val="003A47DD"/>
    <w:rsid w:val="003A5F67"/>
    <w:rsid w:val="003A634F"/>
    <w:rsid w:val="003B14C1"/>
    <w:rsid w:val="003B2884"/>
    <w:rsid w:val="003B588A"/>
    <w:rsid w:val="003B621D"/>
    <w:rsid w:val="003C4388"/>
    <w:rsid w:val="003C4C27"/>
    <w:rsid w:val="003C7F7B"/>
    <w:rsid w:val="003D0CD6"/>
    <w:rsid w:val="003D2EAA"/>
    <w:rsid w:val="003E054C"/>
    <w:rsid w:val="003E1EC5"/>
    <w:rsid w:val="003E27A0"/>
    <w:rsid w:val="003E3872"/>
    <w:rsid w:val="004044AA"/>
    <w:rsid w:val="004044C8"/>
    <w:rsid w:val="00404F3F"/>
    <w:rsid w:val="00410B5D"/>
    <w:rsid w:val="00413BEC"/>
    <w:rsid w:val="0042265E"/>
    <w:rsid w:val="00424ED7"/>
    <w:rsid w:val="00425258"/>
    <w:rsid w:val="00426217"/>
    <w:rsid w:val="00431A80"/>
    <w:rsid w:val="004345AA"/>
    <w:rsid w:val="00435A89"/>
    <w:rsid w:val="00452267"/>
    <w:rsid w:val="00453307"/>
    <w:rsid w:val="00455A02"/>
    <w:rsid w:val="00457E36"/>
    <w:rsid w:val="00460BD3"/>
    <w:rsid w:val="00462F8F"/>
    <w:rsid w:val="004708F2"/>
    <w:rsid w:val="004724DE"/>
    <w:rsid w:val="004770FE"/>
    <w:rsid w:val="0048157F"/>
    <w:rsid w:val="00481D56"/>
    <w:rsid w:val="00490408"/>
    <w:rsid w:val="004A4C45"/>
    <w:rsid w:val="004B0485"/>
    <w:rsid w:val="004B428E"/>
    <w:rsid w:val="004B4D0A"/>
    <w:rsid w:val="004B4D37"/>
    <w:rsid w:val="004C42F0"/>
    <w:rsid w:val="004D50C8"/>
    <w:rsid w:val="004D6B72"/>
    <w:rsid w:val="004E1D73"/>
    <w:rsid w:val="004E72DD"/>
    <w:rsid w:val="004F015D"/>
    <w:rsid w:val="005025FB"/>
    <w:rsid w:val="00503462"/>
    <w:rsid w:val="0051286E"/>
    <w:rsid w:val="00516021"/>
    <w:rsid w:val="00516457"/>
    <w:rsid w:val="00516641"/>
    <w:rsid w:val="0051729F"/>
    <w:rsid w:val="00520A0C"/>
    <w:rsid w:val="00530E37"/>
    <w:rsid w:val="00535946"/>
    <w:rsid w:val="005452CF"/>
    <w:rsid w:val="005464A1"/>
    <w:rsid w:val="00546F12"/>
    <w:rsid w:val="0055339C"/>
    <w:rsid w:val="005542CC"/>
    <w:rsid w:val="00560424"/>
    <w:rsid w:val="00562B3C"/>
    <w:rsid w:val="00564E40"/>
    <w:rsid w:val="005750E2"/>
    <w:rsid w:val="0058313F"/>
    <w:rsid w:val="00585859"/>
    <w:rsid w:val="00586FBC"/>
    <w:rsid w:val="005879C9"/>
    <w:rsid w:val="00594CAD"/>
    <w:rsid w:val="005A1D0B"/>
    <w:rsid w:val="005A3C6B"/>
    <w:rsid w:val="005B1EA5"/>
    <w:rsid w:val="005C54A0"/>
    <w:rsid w:val="005D0D15"/>
    <w:rsid w:val="005D31F5"/>
    <w:rsid w:val="005D7176"/>
    <w:rsid w:val="005E18CB"/>
    <w:rsid w:val="005E1F24"/>
    <w:rsid w:val="005E3667"/>
    <w:rsid w:val="005E73F1"/>
    <w:rsid w:val="005F07EF"/>
    <w:rsid w:val="005F16B6"/>
    <w:rsid w:val="005F5224"/>
    <w:rsid w:val="00600B2E"/>
    <w:rsid w:val="00601122"/>
    <w:rsid w:val="00606521"/>
    <w:rsid w:val="00607CEB"/>
    <w:rsid w:val="00613299"/>
    <w:rsid w:val="0061762D"/>
    <w:rsid w:val="00634238"/>
    <w:rsid w:val="00635FBC"/>
    <w:rsid w:val="00637728"/>
    <w:rsid w:val="0064113A"/>
    <w:rsid w:val="0064167B"/>
    <w:rsid w:val="00644002"/>
    <w:rsid w:val="006458B1"/>
    <w:rsid w:val="00650529"/>
    <w:rsid w:val="00650BAB"/>
    <w:rsid w:val="00651737"/>
    <w:rsid w:val="006652DD"/>
    <w:rsid w:val="006671BF"/>
    <w:rsid w:val="00672A7D"/>
    <w:rsid w:val="00681416"/>
    <w:rsid w:val="006956BF"/>
    <w:rsid w:val="006A06F5"/>
    <w:rsid w:val="006A0ED2"/>
    <w:rsid w:val="006B0A73"/>
    <w:rsid w:val="006B5A6B"/>
    <w:rsid w:val="006C0F82"/>
    <w:rsid w:val="006C25E8"/>
    <w:rsid w:val="006C332E"/>
    <w:rsid w:val="006C5901"/>
    <w:rsid w:val="006D00F1"/>
    <w:rsid w:val="006D377A"/>
    <w:rsid w:val="006D4222"/>
    <w:rsid w:val="006D6372"/>
    <w:rsid w:val="006D68C4"/>
    <w:rsid w:val="006D6E5C"/>
    <w:rsid w:val="006E02AF"/>
    <w:rsid w:val="006E0786"/>
    <w:rsid w:val="006E6B4A"/>
    <w:rsid w:val="006E7449"/>
    <w:rsid w:val="006E7FB1"/>
    <w:rsid w:val="006F2604"/>
    <w:rsid w:val="006F5319"/>
    <w:rsid w:val="006F55FD"/>
    <w:rsid w:val="006F5D21"/>
    <w:rsid w:val="007109F6"/>
    <w:rsid w:val="00711BE3"/>
    <w:rsid w:val="00721B51"/>
    <w:rsid w:val="00724FA7"/>
    <w:rsid w:val="00725415"/>
    <w:rsid w:val="00727505"/>
    <w:rsid w:val="00731581"/>
    <w:rsid w:val="0073481D"/>
    <w:rsid w:val="00741B9E"/>
    <w:rsid w:val="00743DAC"/>
    <w:rsid w:val="007455B3"/>
    <w:rsid w:val="007502CD"/>
    <w:rsid w:val="00752AE7"/>
    <w:rsid w:val="00752D3B"/>
    <w:rsid w:val="0075337B"/>
    <w:rsid w:val="00755CD4"/>
    <w:rsid w:val="00757F96"/>
    <w:rsid w:val="007610B5"/>
    <w:rsid w:val="007623CB"/>
    <w:rsid w:val="00762652"/>
    <w:rsid w:val="00764551"/>
    <w:rsid w:val="007677B8"/>
    <w:rsid w:val="00781713"/>
    <w:rsid w:val="00785285"/>
    <w:rsid w:val="0078529D"/>
    <w:rsid w:val="00785E77"/>
    <w:rsid w:val="00787DC1"/>
    <w:rsid w:val="00794070"/>
    <w:rsid w:val="007A63CA"/>
    <w:rsid w:val="007A713B"/>
    <w:rsid w:val="007A7DA0"/>
    <w:rsid w:val="007B64E5"/>
    <w:rsid w:val="007C2F04"/>
    <w:rsid w:val="007F06E5"/>
    <w:rsid w:val="007F5B8B"/>
    <w:rsid w:val="00817E9A"/>
    <w:rsid w:val="00827786"/>
    <w:rsid w:val="00827BDA"/>
    <w:rsid w:val="00830D57"/>
    <w:rsid w:val="00831F00"/>
    <w:rsid w:val="00850CA0"/>
    <w:rsid w:val="00852A2F"/>
    <w:rsid w:val="008608EE"/>
    <w:rsid w:val="00860B07"/>
    <w:rsid w:val="008616F6"/>
    <w:rsid w:val="0086259C"/>
    <w:rsid w:val="008674ED"/>
    <w:rsid w:val="0087074C"/>
    <w:rsid w:val="00883F24"/>
    <w:rsid w:val="00897E1F"/>
    <w:rsid w:val="008A3E8E"/>
    <w:rsid w:val="008B2CB4"/>
    <w:rsid w:val="008B3D82"/>
    <w:rsid w:val="008B5503"/>
    <w:rsid w:val="008B6404"/>
    <w:rsid w:val="008C040F"/>
    <w:rsid w:val="008C2C21"/>
    <w:rsid w:val="008C5163"/>
    <w:rsid w:val="008C7DD3"/>
    <w:rsid w:val="008E000B"/>
    <w:rsid w:val="008E2926"/>
    <w:rsid w:val="008E35C6"/>
    <w:rsid w:val="008E3F49"/>
    <w:rsid w:val="008E55FD"/>
    <w:rsid w:val="008E7FBC"/>
    <w:rsid w:val="008F243B"/>
    <w:rsid w:val="008F4675"/>
    <w:rsid w:val="008F50FE"/>
    <w:rsid w:val="008F69CD"/>
    <w:rsid w:val="00901E60"/>
    <w:rsid w:val="00904A66"/>
    <w:rsid w:val="00905029"/>
    <w:rsid w:val="00921A3A"/>
    <w:rsid w:val="0092287F"/>
    <w:rsid w:val="0092495B"/>
    <w:rsid w:val="0092660E"/>
    <w:rsid w:val="00936519"/>
    <w:rsid w:val="00941DA3"/>
    <w:rsid w:val="00942C0C"/>
    <w:rsid w:val="00951711"/>
    <w:rsid w:val="009539E3"/>
    <w:rsid w:val="00954A5E"/>
    <w:rsid w:val="009551B2"/>
    <w:rsid w:val="0096022C"/>
    <w:rsid w:val="00964625"/>
    <w:rsid w:val="00980937"/>
    <w:rsid w:val="00981C1D"/>
    <w:rsid w:val="0099109C"/>
    <w:rsid w:val="009936DB"/>
    <w:rsid w:val="00993CFC"/>
    <w:rsid w:val="009A1DC2"/>
    <w:rsid w:val="009A5EEA"/>
    <w:rsid w:val="009B0906"/>
    <w:rsid w:val="009B38F2"/>
    <w:rsid w:val="009B7433"/>
    <w:rsid w:val="009C0914"/>
    <w:rsid w:val="009C27E5"/>
    <w:rsid w:val="009D24A1"/>
    <w:rsid w:val="009D3891"/>
    <w:rsid w:val="009D71E8"/>
    <w:rsid w:val="009E104B"/>
    <w:rsid w:val="009E7DE4"/>
    <w:rsid w:val="009F3BBD"/>
    <w:rsid w:val="00A022AB"/>
    <w:rsid w:val="00A063DD"/>
    <w:rsid w:val="00A112B5"/>
    <w:rsid w:val="00A14EEA"/>
    <w:rsid w:val="00A16939"/>
    <w:rsid w:val="00A33636"/>
    <w:rsid w:val="00A44FBB"/>
    <w:rsid w:val="00A50104"/>
    <w:rsid w:val="00A522E0"/>
    <w:rsid w:val="00A52823"/>
    <w:rsid w:val="00A63579"/>
    <w:rsid w:val="00A638AC"/>
    <w:rsid w:val="00A64475"/>
    <w:rsid w:val="00A727E5"/>
    <w:rsid w:val="00A748B5"/>
    <w:rsid w:val="00A80A32"/>
    <w:rsid w:val="00A82A98"/>
    <w:rsid w:val="00A82D16"/>
    <w:rsid w:val="00A852F2"/>
    <w:rsid w:val="00A8712A"/>
    <w:rsid w:val="00A95F75"/>
    <w:rsid w:val="00A968DA"/>
    <w:rsid w:val="00A96B83"/>
    <w:rsid w:val="00AA355B"/>
    <w:rsid w:val="00AA42E5"/>
    <w:rsid w:val="00AB0B1A"/>
    <w:rsid w:val="00AB24FA"/>
    <w:rsid w:val="00AD7B5A"/>
    <w:rsid w:val="00AE229F"/>
    <w:rsid w:val="00AF5E20"/>
    <w:rsid w:val="00B002FA"/>
    <w:rsid w:val="00B00327"/>
    <w:rsid w:val="00B024B3"/>
    <w:rsid w:val="00B11DE8"/>
    <w:rsid w:val="00B179ED"/>
    <w:rsid w:val="00B20E18"/>
    <w:rsid w:val="00B331E1"/>
    <w:rsid w:val="00B572C4"/>
    <w:rsid w:val="00B60858"/>
    <w:rsid w:val="00B74D4E"/>
    <w:rsid w:val="00B80219"/>
    <w:rsid w:val="00B87184"/>
    <w:rsid w:val="00B91453"/>
    <w:rsid w:val="00BA1432"/>
    <w:rsid w:val="00BA19A5"/>
    <w:rsid w:val="00BC078B"/>
    <w:rsid w:val="00BC3A7D"/>
    <w:rsid w:val="00BC67F6"/>
    <w:rsid w:val="00BD2004"/>
    <w:rsid w:val="00BD4B12"/>
    <w:rsid w:val="00BD700D"/>
    <w:rsid w:val="00BE2F92"/>
    <w:rsid w:val="00BE44AC"/>
    <w:rsid w:val="00BF0D5F"/>
    <w:rsid w:val="00BF59B3"/>
    <w:rsid w:val="00BF6F95"/>
    <w:rsid w:val="00C10BCF"/>
    <w:rsid w:val="00C11EB4"/>
    <w:rsid w:val="00C12746"/>
    <w:rsid w:val="00C23015"/>
    <w:rsid w:val="00C23C11"/>
    <w:rsid w:val="00C25827"/>
    <w:rsid w:val="00C31BB8"/>
    <w:rsid w:val="00C373EA"/>
    <w:rsid w:val="00C43CA3"/>
    <w:rsid w:val="00C43D9D"/>
    <w:rsid w:val="00C43EA4"/>
    <w:rsid w:val="00C4475D"/>
    <w:rsid w:val="00C50040"/>
    <w:rsid w:val="00C5020B"/>
    <w:rsid w:val="00C52DFF"/>
    <w:rsid w:val="00C621C1"/>
    <w:rsid w:val="00C62989"/>
    <w:rsid w:val="00C65CBB"/>
    <w:rsid w:val="00C74684"/>
    <w:rsid w:val="00C77FEF"/>
    <w:rsid w:val="00C80F37"/>
    <w:rsid w:val="00C83659"/>
    <w:rsid w:val="00C97A7F"/>
    <w:rsid w:val="00CA4421"/>
    <w:rsid w:val="00CA5363"/>
    <w:rsid w:val="00CA7D07"/>
    <w:rsid w:val="00CB24A4"/>
    <w:rsid w:val="00CB5B17"/>
    <w:rsid w:val="00CC4443"/>
    <w:rsid w:val="00CC5CAF"/>
    <w:rsid w:val="00D06874"/>
    <w:rsid w:val="00D07530"/>
    <w:rsid w:val="00D173F7"/>
    <w:rsid w:val="00D20203"/>
    <w:rsid w:val="00D204E0"/>
    <w:rsid w:val="00D21354"/>
    <w:rsid w:val="00D22400"/>
    <w:rsid w:val="00D23F4A"/>
    <w:rsid w:val="00D264E2"/>
    <w:rsid w:val="00D278BA"/>
    <w:rsid w:val="00D33FE5"/>
    <w:rsid w:val="00D348C0"/>
    <w:rsid w:val="00D3578A"/>
    <w:rsid w:val="00D43A15"/>
    <w:rsid w:val="00D4463C"/>
    <w:rsid w:val="00D501EE"/>
    <w:rsid w:val="00D517DC"/>
    <w:rsid w:val="00D5360D"/>
    <w:rsid w:val="00D5590D"/>
    <w:rsid w:val="00D618E4"/>
    <w:rsid w:val="00D61DA5"/>
    <w:rsid w:val="00D642A3"/>
    <w:rsid w:val="00D71B8A"/>
    <w:rsid w:val="00D72C08"/>
    <w:rsid w:val="00D81325"/>
    <w:rsid w:val="00D875ED"/>
    <w:rsid w:val="00D877D0"/>
    <w:rsid w:val="00D90013"/>
    <w:rsid w:val="00D91B9C"/>
    <w:rsid w:val="00D92C1B"/>
    <w:rsid w:val="00D94CC7"/>
    <w:rsid w:val="00DA1AF4"/>
    <w:rsid w:val="00DB0C60"/>
    <w:rsid w:val="00DC641A"/>
    <w:rsid w:val="00DD19F8"/>
    <w:rsid w:val="00DD21A1"/>
    <w:rsid w:val="00DD6B7D"/>
    <w:rsid w:val="00DD6E14"/>
    <w:rsid w:val="00DE15AC"/>
    <w:rsid w:val="00DF2015"/>
    <w:rsid w:val="00DF3365"/>
    <w:rsid w:val="00E061EC"/>
    <w:rsid w:val="00E10E81"/>
    <w:rsid w:val="00E13E51"/>
    <w:rsid w:val="00E21F56"/>
    <w:rsid w:val="00E23BB7"/>
    <w:rsid w:val="00E3014F"/>
    <w:rsid w:val="00E4286E"/>
    <w:rsid w:val="00E43EAD"/>
    <w:rsid w:val="00E62DCB"/>
    <w:rsid w:val="00E651DD"/>
    <w:rsid w:val="00E66558"/>
    <w:rsid w:val="00E70D81"/>
    <w:rsid w:val="00E726A6"/>
    <w:rsid w:val="00E73418"/>
    <w:rsid w:val="00E8109E"/>
    <w:rsid w:val="00E825EB"/>
    <w:rsid w:val="00E86F05"/>
    <w:rsid w:val="00EA3A2A"/>
    <w:rsid w:val="00EB4556"/>
    <w:rsid w:val="00EB64C8"/>
    <w:rsid w:val="00ED4136"/>
    <w:rsid w:val="00ED5108"/>
    <w:rsid w:val="00ED6AE8"/>
    <w:rsid w:val="00EE2CB2"/>
    <w:rsid w:val="00EF7FDF"/>
    <w:rsid w:val="00F012CA"/>
    <w:rsid w:val="00F01752"/>
    <w:rsid w:val="00F017D2"/>
    <w:rsid w:val="00F0355A"/>
    <w:rsid w:val="00F05C44"/>
    <w:rsid w:val="00F15753"/>
    <w:rsid w:val="00F21F92"/>
    <w:rsid w:val="00F24A7E"/>
    <w:rsid w:val="00F32ABA"/>
    <w:rsid w:val="00F33DC0"/>
    <w:rsid w:val="00F33F28"/>
    <w:rsid w:val="00F35A40"/>
    <w:rsid w:val="00F35FDE"/>
    <w:rsid w:val="00F40DE1"/>
    <w:rsid w:val="00F4142A"/>
    <w:rsid w:val="00F62587"/>
    <w:rsid w:val="00F631A6"/>
    <w:rsid w:val="00F63E9E"/>
    <w:rsid w:val="00F66AA7"/>
    <w:rsid w:val="00F75603"/>
    <w:rsid w:val="00F76843"/>
    <w:rsid w:val="00F776E1"/>
    <w:rsid w:val="00F925EB"/>
    <w:rsid w:val="00F97033"/>
    <w:rsid w:val="00FA6DD0"/>
    <w:rsid w:val="00FC28DF"/>
    <w:rsid w:val="00FD2297"/>
    <w:rsid w:val="00FD6AC6"/>
    <w:rsid w:val="00FE3136"/>
    <w:rsid w:val="00FE50A3"/>
    <w:rsid w:val="00FE5204"/>
    <w:rsid w:val="00FE604C"/>
    <w:rsid w:val="00FF369D"/>
    <w:rsid w:val="00FF6FB0"/>
    <w:rsid w:val="00FF79A8"/>
    <w:rsid w:val="05B6D577"/>
    <w:rsid w:val="069AA0E3"/>
    <w:rsid w:val="07FFD3D3"/>
    <w:rsid w:val="0B240EAF"/>
    <w:rsid w:val="10D55F5E"/>
    <w:rsid w:val="13173609"/>
    <w:rsid w:val="1880A041"/>
    <w:rsid w:val="1A172959"/>
    <w:rsid w:val="1CBF4D92"/>
    <w:rsid w:val="201B1F76"/>
    <w:rsid w:val="2058C1C3"/>
    <w:rsid w:val="20FEA2B6"/>
    <w:rsid w:val="21B6EFD7"/>
    <w:rsid w:val="238D76EA"/>
    <w:rsid w:val="2497129E"/>
    <w:rsid w:val="2860AB8E"/>
    <w:rsid w:val="2FFB967E"/>
    <w:rsid w:val="31AB9917"/>
    <w:rsid w:val="31CC4DD9"/>
    <w:rsid w:val="380BAE89"/>
    <w:rsid w:val="3A3F1ACF"/>
    <w:rsid w:val="3BE13FA2"/>
    <w:rsid w:val="3EA4202B"/>
    <w:rsid w:val="418407A1"/>
    <w:rsid w:val="42A4A9A4"/>
    <w:rsid w:val="46D22D01"/>
    <w:rsid w:val="491E3A64"/>
    <w:rsid w:val="4BF69EA0"/>
    <w:rsid w:val="4F72C368"/>
    <w:rsid w:val="513817C5"/>
    <w:rsid w:val="5726C435"/>
    <w:rsid w:val="5BC2E91E"/>
    <w:rsid w:val="5C40C457"/>
    <w:rsid w:val="5F3A7B6B"/>
    <w:rsid w:val="617B4808"/>
    <w:rsid w:val="625D1A15"/>
    <w:rsid w:val="6D28B1AF"/>
    <w:rsid w:val="6D616F43"/>
    <w:rsid w:val="6EB73EE5"/>
    <w:rsid w:val="7437C3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B17F33C7-39FE-477A-B0FE-FB6657443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aliases w:val="Dot pt,No Spacing1,List Paragraph Char Char Char,Indicator Text,Numbered Para 1,Bullet 1,List Paragraph1,F5 List Paragraph,Bullet Points,MAIN CONTENT,List Paragraph12,Bullet Style,Colorful List - Accent 11,Normal numbered,List Paragraph2"/>
    <w:basedOn w:val="Normal"/>
    <w:link w:val="ListParagraphChar"/>
    <w:uiPriority w:val="34"/>
    <w:qFormat/>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uiPriority w:val="99"/>
  </w:style>
  <w:style w:type="paragraph" w:styleId="CommentText">
    <w:name w:val="annotation text"/>
    <w:basedOn w:val="Normal"/>
    <w:uiPriority w:val="99"/>
    <w:pPr>
      <w:spacing w:line="240" w:lineRule="auto"/>
    </w:pPr>
    <w:rPr>
      <w:sz w:val="20"/>
      <w:szCs w:val="20"/>
    </w:rPr>
  </w:style>
  <w:style w:type="character" w:customStyle="1" w:styleId="CommentTextChar">
    <w:name w:val="Comment Text Char"/>
    <w:basedOn w:val="DefaultParagraphFont"/>
    <w:uiPriority w:val="99"/>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paragraph" w:styleId="Revision">
    <w:name w:val="Revision"/>
    <w:hidden/>
    <w:uiPriority w:val="99"/>
    <w:semiHidden/>
    <w:rsid w:val="00115538"/>
    <w:pPr>
      <w:autoSpaceDN/>
    </w:pPr>
    <w:rPr>
      <w:color w:val="0D0D0D"/>
      <w:sz w:val="24"/>
      <w:szCs w:val="24"/>
    </w:rPr>
  </w:style>
  <w:style w:type="character" w:customStyle="1" w:styleId="Mention">
    <w:name w:val="Mention"/>
    <w:basedOn w:val="DefaultParagraphFont"/>
    <w:uiPriority w:val="99"/>
    <w:unhideWhenUsed/>
    <w:rsid w:val="00E726A6"/>
    <w:rPr>
      <w:color w:val="2B579A"/>
      <w:shd w:val="clear" w:color="auto" w:fill="E1DFDD"/>
    </w:rPr>
  </w:style>
  <w:style w:type="table" w:styleId="TableGrid">
    <w:name w:val="Table Grid"/>
    <w:basedOn w:val="TableNormal"/>
    <w:uiPriority w:val="39"/>
    <w:rsid w:val="009539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List Paragraph12 Char"/>
    <w:basedOn w:val="DefaultParagraphFont"/>
    <w:link w:val="ListParagraph"/>
    <w:uiPriority w:val="34"/>
    <w:locked/>
    <w:rsid w:val="00721B51"/>
    <w:rPr>
      <w:color w:val="0D0D0D"/>
      <w:sz w:val="24"/>
      <w:szCs w:val="24"/>
    </w:rPr>
  </w:style>
  <w:style w:type="paragraph" w:customStyle="1" w:styleId="paragraph">
    <w:name w:val="paragraph"/>
    <w:basedOn w:val="Normal"/>
    <w:rsid w:val="00C4475D"/>
    <w:pPr>
      <w:suppressAutoHyphens w:val="0"/>
      <w:autoSpaceDN/>
      <w:spacing w:before="100" w:beforeAutospacing="1" w:after="100" w:afterAutospacing="1" w:line="240" w:lineRule="auto"/>
    </w:pPr>
    <w:rPr>
      <w:rFonts w:ascii="Times New Roman" w:hAnsi="Times New Roman"/>
      <w:color w:val="auto"/>
    </w:rPr>
  </w:style>
  <w:style w:type="character" w:customStyle="1" w:styleId="normaltextrun">
    <w:name w:val="normaltextrun"/>
    <w:basedOn w:val="DefaultParagraphFont"/>
    <w:rsid w:val="00C4475D"/>
  </w:style>
  <w:style w:type="character" w:customStyle="1" w:styleId="eop">
    <w:name w:val="eop"/>
    <w:basedOn w:val="DefaultParagraphFont"/>
    <w:rsid w:val="00C4475D"/>
  </w:style>
  <w:style w:type="character" w:customStyle="1" w:styleId="spellingerrorsuperscript">
    <w:name w:val="spellingerrorsuperscript"/>
    <w:basedOn w:val="DefaultParagraphFont"/>
    <w:rsid w:val="00C447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29493">
      <w:bodyDiv w:val="1"/>
      <w:marLeft w:val="0"/>
      <w:marRight w:val="0"/>
      <w:marTop w:val="0"/>
      <w:marBottom w:val="0"/>
      <w:divBdr>
        <w:top w:val="none" w:sz="0" w:space="0" w:color="auto"/>
        <w:left w:val="none" w:sz="0" w:space="0" w:color="auto"/>
        <w:bottom w:val="none" w:sz="0" w:space="0" w:color="auto"/>
        <w:right w:val="none" w:sz="0" w:space="0" w:color="auto"/>
      </w:divBdr>
    </w:div>
    <w:div w:id="475294392">
      <w:bodyDiv w:val="1"/>
      <w:marLeft w:val="0"/>
      <w:marRight w:val="0"/>
      <w:marTop w:val="0"/>
      <w:marBottom w:val="0"/>
      <w:divBdr>
        <w:top w:val="none" w:sz="0" w:space="0" w:color="auto"/>
        <w:left w:val="none" w:sz="0" w:space="0" w:color="auto"/>
        <w:bottom w:val="none" w:sz="0" w:space="0" w:color="auto"/>
        <w:right w:val="none" w:sz="0" w:space="0" w:color="auto"/>
      </w:divBdr>
      <w:divsChild>
        <w:div w:id="520359421">
          <w:marLeft w:val="0"/>
          <w:marRight w:val="4800"/>
          <w:marTop w:val="0"/>
          <w:marBottom w:val="0"/>
          <w:divBdr>
            <w:top w:val="single" w:sz="2" w:space="0" w:color="EEEEEE"/>
            <w:left w:val="single" w:sz="2" w:space="0" w:color="EEEEEE"/>
            <w:bottom w:val="single" w:sz="2" w:space="0" w:color="EEEEEE"/>
            <w:right w:val="single" w:sz="2" w:space="0" w:color="EEEEEE"/>
          </w:divBdr>
          <w:divsChild>
            <w:div w:id="141654979">
              <w:marLeft w:val="0"/>
              <w:marRight w:val="0"/>
              <w:marTop w:val="0"/>
              <w:marBottom w:val="0"/>
              <w:divBdr>
                <w:top w:val="single" w:sz="2" w:space="0" w:color="EEEEEE"/>
                <w:left w:val="single" w:sz="2" w:space="0" w:color="EEEEEE"/>
                <w:bottom w:val="single" w:sz="2" w:space="0" w:color="EEEEEE"/>
                <w:right w:val="single" w:sz="2" w:space="0" w:color="EEEEEE"/>
              </w:divBdr>
            </w:div>
          </w:divsChild>
        </w:div>
        <w:div w:id="114834804">
          <w:marLeft w:val="4800"/>
          <w:marRight w:val="4800"/>
          <w:marTop w:val="0"/>
          <w:marBottom w:val="0"/>
          <w:divBdr>
            <w:top w:val="single" w:sz="2" w:space="0" w:color="EEEEEE"/>
            <w:left w:val="single" w:sz="2" w:space="0" w:color="EEEEEE"/>
            <w:bottom w:val="single" w:sz="2" w:space="0" w:color="EEEEEE"/>
            <w:right w:val="single" w:sz="2" w:space="0" w:color="EEEEEE"/>
          </w:divBdr>
          <w:divsChild>
            <w:div w:id="515266570">
              <w:marLeft w:val="0"/>
              <w:marRight w:val="0"/>
              <w:marTop w:val="0"/>
              <w:marBottom w:val="0"/>
              <w:divBdr>
                <w:top w:val="single" w:sz="2" w:space="0" w:color="EEEEEE"/>
                <w:left w:val="single" w:sz="2" w:space="0" w:color="EEEEEE"/>
                <w:bottom w:val="single" w:sz="2" w:space="0" w:color="EEEEEE"/>
                <w:right w:val="single" w:sz="2" w:space="0" w:color="EEEEEE"/>
              </w:divBdr>
            </w:div>
          </w:divsChild>
        </w:div>
      </w:divsChild>
    </w:div>
    <w:div w:id="614364512">
      <w:bodyDiv w:val="1"/>
      <w:marLeft w:val="0"/>
      <w:marRight w:val="0"/>
      <w:marTop w:val="0"/>
      <w:marBottom w:val="0"/>
      <w:divBdr>
        <w:top w:val="none" w:sz="0" w:space="0" w:color="auto"/>
        <w:left w:val="none" w:sz="0" w:space="0" w:color="auto"/>
        <w:bottom w:val="none" w:sz="0" w:space="0" w:color="auto"/>
        <w:right w:val="none" w:sz="0" w:space="0" w:color="auto"/>
      </w:divBdr>
      <w:divsChild>
        <w:div w:id="20399740">
          <w:marLeft w:val="0"/>
          <w:marRight w:val="4800"/>
          <w:marTop w:val="0"/>
          <w:marBottom w:val="0"/>
          <w:divBdr>
            <w:top w:val="single" w:sz="2" w:space="0" w:color="EEEEEE"/>
            <w:left w:val="single" w:sz="2" w:space="0" w:color="EEEEEE"/>
            <w:bottom w:val="single" w:sz="2" w:space="0" w:color="EEEEEE"/>
            <w:right w:val="single" w:sz="2" w:space="0" w:color="EEEEEE"/>
          </w:divBdr>
          <w:divsChild>
            <w:div w:id="1148861998">
              <w:marLeft w:val="0"/>
              <w:marRight w:val="0"/>
              <w:marTop w:val="0"/>
              <w:marBottom w:val="0"/>
              <w:divBdr>
                <w:top w:val="single" w:sz="2" w:space="0" w:color="EEEEEE"/>
                <w:left w:val="single" w:sz="2" w:space="0" w:color="EEEEEE"/>
                <w:bottom w:val="single" w:sz="2" w:space="0" w:color="EEEEEE"/>
                <w:right w:val="single" w:sz="2" w:space="0" w:color="EEEEEE"/>
              </w:divBdr>
            </w:div>
          </w:divsChild>
        </w:div>
        <w:div w:id="887375751">
          <w:marLeft w:val="4800"/>
          <w:marRight w:val="4800"/>
          <w:marTop w:val="0"/>
          <w:marBottom w:val="0"/>
          <w:divBdr>
            <w:top w:val="single" w:sz="2" w:space="0" w:color="EEEEEE"/>
            <w:left w:val="single" w:sz="2" w:space="0" w:color="EEEEEE"/>
            <w:bottom w:val="single" w:sz="2" w:space="0" w:color="EEEEEE"/>
            <w:right w:val="single" w:sz="2" w:space="0" w:color="EEEEEE"/>
          </w:divBdr>
          <w:divsChild>
            <w:div w:id="782385705">
              <w:marLeft w:val="0"/>
              <w:marRight w:val="0"/>
              <w:marTop w:val="0"/>
              <w:marBottom w:val="0"/>
              <w:divBdr>
                <w:top w:val="single" w:sz="2" w:space="0" w:color="EEEEEE"/>
                <w:left w:val="single" w:sz="2" w:space="0" w:color="EEEEEE"/>
                <w:bottom w:val="single" w:sz="2" w:space="0" w:color="EEEEEE"/>
                <w:right w:val="single" w:sz="2" w:space="0" w:color="EEEEEE"/>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educationendowmentfoundation.org.uk/education-evidence/teaching-learning-toolkit/phonics" TargetMode="External"/><Relationship Id="rId18" Type="http://schemas.openxmlformats.org/officeDocument/2006/relationships/hyperlink" Target="https://educationendowmentfoundation.org.uk/education-evidence/teaching-learning-toolkit/metacognition-and-self-regulation"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educationendowmentfoundation.org.uk/education-evidence/teaching-learning-toolkit/behaviour-interventions" TargetMode="External"/><Relationship Id="rId7" Type="http://schemas.openxmlformats.org/officeDocument/2006/relationships/webSettings" Target="webSettings.xml"/><Relationship Id="rId12" Type="http://schemas.openxmlformats.org/officeDocument/2006/relationships/hyperlink" Target="https://educationendowmentfoundation.org.uk/education-evidence/teaching-learning-toolkit/feedback" TargetMode="External"/><Relationship Id="rId17" Type="http://schemas.openxmlformats.org/officeDocument/2006/relationships/hyperlink" Target="https://educationendowmentfoundation.org.uk/education-evidence/teaching-learning-toolkit/oral-language-interventions"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educationendowmentfoundation.org.uk/education-evidence/teaching-learning-toolkit/reading-comprehension-strategies" TargetMode="External"/><Relationship Id="rId20" Type="http://schemas.openxmlformats.org/officeDocument/2006/relationships/hyperlink" Target="https://educationendowmentfoundation.org.uk/education-evidence/teaching-learning-toolkit/parental-engagement"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ssets.website-files.com/5ee28729f7b4a5fa99bef2b3/5ee9f507021911ae35ac6c4d_EBE_GTT_EVIDENCE%20REVIEW_DIGITAL.pdf?utm_referrer=https%3A%2F%2Fwww.greatteaching.com%2F" TargetMode="External"/><Relationship Id="rId24"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educationendowmentfoundation.org.uk/education-evidence/teaching-learning-toolkit/phonics" TargetMode="External"/><Relationship Id="rId23" Type="http://schemas.openxmlformats.org/officeDocument/2006/relationships/image" Target="media/image1.png"/><Relationship Id="rId10" Type="http://schemas.openxmlformats.org/officeDocument/2006/relationships/hyperlink" Target="https://assets.website-files.com/5ee28729f7b4a5fa99bef2b3/5ee9f507021911ae35ac6c4d_EBE_GTT_EVIDENCE%20REVIEW_DIGITAL.pdf?utm_referrer=https%3A%2F%2Fwww.greatteaching.com%2F" TargetMode="External"/><Relationship Id="rId19" Type="http://schemas.openxmlformats.org/officeDocument/2006/relationships/hyperlink" Target="https://educationendowmentfoundation.org.uk/education-evidence/teaching-learning-toolkit/small-group-tuitio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educationendowmentfoundation.org.uk/education-evidence/teaching-learning-toolkit/feedback" TargetMode="External"/><Relationship Id="rId22" Type="http://schemas.openxmlformats.org/officeDocument/2006/relationships/hyperlink" Target="https://educationendowmentfoundation.org.uk/education-evidence/teaching-learning-toolkit/arts-participation"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b490b06-8b9e-4a48-a772-8260b31e3396">
      <UserInfo>
        <DisplayName>Georgena Barnard</DisplayName>
        <AccountId>142</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65C353C7BB43F4FAF4E03C955DC1A7F" ma:contentTypeVersion="13" ma:contentTypeDescription="Create a new document." ma:contentTypeScope="" ma:versionID="585380a30ee4e24665d2ca37b6ed7dc6">
  <xsd:schema xmlns:xsd="http://www.w3.org/2001/XMLSchema" xmlns:xs="http://www.w3.org/2001/XMLSchema" xmlns:p="http://schemas.microsoft.com/office/2006/metadata/properties" xmlns:ns2="a650b390-f04a-4157-aa52-851ee7741073" xmlns:ns3="4b490b06-8b9e-4a48-a772-8260b31e3396" targetNamespace="http://schemas.microsoft.com/office/2006/metadata/properties" ma:root="true" ma:fieldsID="1b285aa80f85652b63f4b9397a106fca" ns2:_="" ns3:_="">
    <xsd:import namespace="a650b390-f04a-4157-aa52-851ee7741073"/>
    <xsd:import namespace="4b490b06-8b9e-4a48-a772-8260b31e339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50b390-f04a-4157-aa52-851ee77410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490b06-8b9e-4a48-a772-8260b31e339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C1D0C7-85FE-4C78-BEE5-3B63BD36DEA9}">
  <ds:schemaRefs>
    <ds:schemaRef ds:uri="a650b390-f04a-4157-aa52-851ee7741073"/>
    <ds:schemaRef ds:uri="4b490b06-8b9e-4a48-a772-8260b31e3396"/>
    <ds:schemaRef ds:uri="http://purl.org/dc/dcmitype/"/>
    <ds:schemaRef ds:uri="http://purl.org/dc/elements/1.1/"/>
    <ds:schemaRef ds:uri="http://purl.org/dc/terms/"/>
    <ds:schemaRef ds:uri="http://www.w3.org/XML/1998/namespace"/>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7C4A9B62-B26D-4F82-A8A8-A6F0C5BFB998}">
  <ds:schemaRefs>
    <ds:schemaRef ds:uri="http://schemas.microsoft.com/sharepoint/v3/contenttype/forms"/>
  </ds:schemaRefs>
</ds:datastoreItem>
</file>

<file path=customXml/itemProps3.xml><?xml version="1.0" encoding="utf-8"?>
<ds:datastoreItem xmlns:ds="http://schemas.openxmlformats.org/officeDocument/2006/customXml" ds:itemID="{F7819D65-8F12-4DFA-B710-E84019FFDB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50b390-f04a-4157-aa52-851ee7741073"/>
    <ds:schemaRef ds:uri="4b490b06-8b9e-4a48-a772-8260b31e33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2796</Words>
  <Characters>15938</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Pupil premium strategy statement</vt:lpstr>
    </vt:vector>
  </TitlesOfParts>
  <Company/>
  <LinksUpToDate>false</LinksUpToDate>
  <CharactersWithSpaces>18697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strategy statement</dc:title>
  <dc:subject/>
  <dc:creator>Department for Education</dc:creator>
  <cp:keywords/>
  <dc:description/>
  <cp:lastModifiedBy>David Kooyman</cp:lastModifiedBy>
  <cp:revision>2</cp:revision>
  <cp:lastPrinted>2014-09-18T05:26:00Z</cp:lastPrinted>
  <dcterms:created xsi:type="dcterms:W3CDTF">2023-12-06T09:40:00Z</dcterms:created>
  <dcterms:modified xsi:type="dcterms:W3CDTF">2023-12-06T09:40:00Z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0x010100D65C353C7BB43F4FAF4E03C955DC1A7F</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